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5DFB4" w14:textId="3DCF7883" w:rsidR="00A41EC4" w:rsidRDefault="00A41EC4" w:rsidP="0021114E">
      <w:pPr>
        <w:pStyle w:val="MainText"/>
        <w:spacing w:line="240" w:lineRule="auto"/>
        <w:rPr>
          <w:rFonts w:ascii="Arial" w:hAnsi="Arial" w:cs="Arial"/>
          <w:b/>
          <w:sz w:val="28"/>
          <w:szCs w:val="28"/>
        </w:rPr>
      </w:pPr>
      <w:r w:rsidRPr="00A41EC4">
        <w:rPr>
          <w:rFonts w:ascii="Arial" w:hAnsi="Arial" w:cs="Arial"/>
          <w:b/>
          <w:sz w:val="28"/>
          <w:szCs w:val="28"/>
        </w:rPr>
        <w:t>Response to Markets in Financial Instruments Directive II Implementation</w:t>
      </w:r>
      <w:r w:rsidR="00C92850">
        <w:rPr>
          <w:rFonts w:ascii="Arial" w:hAnsi="Arial" w:cs="Arial"/>
          <w:b/>
          <w:sz w:val="28"/>
          <w:szCs w:val="28"/>
        </w:rPr>
        <w:t xml:space="preserve">: </w:t>
      </w:r>
      <w:r w:rsidRPr="00A41EC4">
        <w:rPr>
          <w:rFonts w:ascii="Arial" w:hAnsi="Arial" w:cs="Arial"/>
          <w:b/>
          <w:sz w:val="28"/>
          <w:szCs w:val="28"/>
        </w:rPr>
        <w:t xml:space="preserve">Consultation Paper III  </w:t>
      </w:r>
    </w:p>
    <w:p w14:paraId="5139C761" w14:textId="77777777" w:rsidR="00A41EC4" w:rsidRDefault="00A41EC4" w:rsidP="0021114E">
      <w:pPr>
        <w:pStyle w:val="MainText"/>
        <w:spacing w:line="240" w:lineRule="auto"/>
        <w:rPr>
          <w:rFonts w:ascii="Arial" w:hAnsi="Arial" w:cs="Arial"/>
          <w:b/>
          <w:sz w:val="28"/>
          <w:szCs w:val="28"/>
        </w:rPr>
      </w:pPr>
    </w:p>
    <w:p w14:paraId="7999792D" w14:textId="77777777" w:rsidR="00C90EFC" w:rsidRDefault="00C90EFC" w:rsidP="0021114E">
      <w:pPr>
        <w:pStyle w:val="MainText"/>
        <w:spacing w:line="240" w:lineRule="auto"/>
        <w:rPr>
          <w:rFonts w:ascii="Arial" w:hAnsi="Arial" w:cs="Arial"/>
          <w:b/>
          <w:sz w:val="28"/>
          <w:szCs w:val="28"/>
        </w:rPr>
      </w:pPr>
    </w:p>
    <w:p w14:paraId="4123E6E1" w14:textId="21D3B0FE"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3B664CCF" w14:textId="695495A6"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 xml:space="preserve">For </w:t>
      </w:r>
      <w:r w:rsidR="00077621">
        <w:rPr>
          <w:rFonts w:ascii="Arial" w:hAnsi="Arial" w:cs="Arial"/>
          <w:szCs w:val="22"/>
        </w:rPr>
        <w:t>dec</w:t>
      </w:r>
      <w:r w:rsidR="00D1012F">
        <w:rPr>
          <w:rFonts w:ascii="Arial" w:hAnsi="Arial" w:cs="Arial"/>
          <w:szCs w:val="22"/>
        </w:rPr>
        <w:t>i</w:t>
      </w:r>
      <w:r w:rsidR="00077621">
        <w:rPr>
          <w:rFonts w:ascii="Arial" w:hAnsi="Arial" w:cs="Arial"/>
          <w:szCs w:val="22"/>
        </w:rPr>
        <w:t>sion</w:t>
      </w:r>
      <w:r w:rsidR="00540228">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0648A633"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359E7575" w14:textId="77777777" w:rsidR="00C90EFC" w:rsidRDefault="00077621" w:rsidP="004D6E27">
      <w:pPr>
        <w:pStyle w:val="MainText"/>
        <w:spacing w:line="240" w:lineRule="auto"/>
        <w:rPr>
          <w:rFonts w:ascii="Arial" w:hAnsi="Arial" w:cs="Arial"/>
          <w:szCs w:val="22"/>
        </w:rPr>
      </w:pPr>
      <w:r>
        <w:rPr>
          <w:rFonts w:ascii="Arial" w:hAnsi="Arial" w:cs="Arial"/>
          <w:szCs w:val="22"/>
        </w:rPr>
        <w:t xml:space="preserve">The Financial Conduct Authority (FCA) is </w:t>
      </w:r>
      <w:r w:rsidR="00D1012F">
        <w:rPr>
          <w:rFonts w:ascii="Arial" w:hAnsi="Arial" w:cs="Arial"/>
          <w:szCs w:val="22"/>
        </w:rPr>
        <w:t>consult</w:t>
      </w:r>
      <w:r>
        <w:rPr>
          <w:rFonts w:ascii="Arial" w:hAnsi="Arial" w:cs="Arial"/>
          <w:szCs w:val="22"/>
        </w:rPr>
        <w:t xml:space="preserve">ing on the implementation of the Markets in Financial Instruments Directive </w:t>
      </w:r>
      <w:r w:rsidR="00432292">
        <w:rPr>
          <w:rFonts w:ascii="Arial" w:hAnsi="Arial" w:cs="Arial"/>
          <w:szCs w:val="22"/>
        </w:rPr>
        <w:t>II</w:t>
      </w:r>
      <w:r>
        <w:rPr>
          <w:rFonts w:ascii="Arial" w:hAnsi="Arial" w:cs="Arial"/>
          <w:szCs w:val="22"/>
        </w:rPr>
        <w:t xml:space="preserve"> (MiFID </w:t>
      </w:r>
      <w:r w:rsidR="00432292">
        <w:rPr>
          <w:rFonts w:ascii="Arial" w:hAnsi="Arial" w:cs="Arial"/>
          <w:szCs w:val="22"/>
        </w:rPr>
        <w:t>II</w:t>
      </w:r>
      <w:r>
        <w:rPr>
          <w:rFonts w:ascii="Arial" w:hAnsi="Arial" w:cs="Arial"/>
          <w:szCs w:val="22"/>
        </w:rPr>
        <w:t xml:space="preserve">). </w:t>
      </w:r>
    </w:p>
    <w:p w14:paraId="013B3600" w14:textId="77777777" w:rsidR="00C90EFC" w:rsidRDefault="00C90EFC" w:rsidP="004D6E27">
      <w:pPr>
        <w:pStyle w:val="MainText"/>
        <w:spacing w:line="240" w:lineRule="auto"/>
        <w:rPr>
          <w:rFonts w:ascii="Arial" w:hAnsi="Arial" w:cs="Arial"/>
          <w:szCs w:val="22"/>
        </w:rPr>
      </w:pPr>
    </w:p>
    <w:p w14:paraId="1CB983C9" w14:textId="1B0CD52F" w:rsidR="00C56860" w:rsidRPr="004D6E27" w:rsidRDefault="00077621" w:rsidP="004D6E27">
      <w:pPr>
        <w:pStyle w:val="MainText"/>
        <w:spacing w:line="240" w:lineRule="auto"/>
        <w:rPr>
          <w:rFonts w:ascii="Arial" w:hAnsi="Arial" w:cs="Arial"/>
          <w:szCs w:val="22"/>
        </w:rPr>
      </w:pPr>
      <w:r>
        <w:rPr>
          <w:rFonts w:ascii="Arial" w:hAnsi="Arial" w:cs="Arial"/>
          <w:szCs w:val="22"/>
        </w:rPr>
        <w:t>This implementation will impact on councils</w:t>
      </w:r>
      <w:r w:rsidR="00056076">
        <w:rPr>
          <w:rFonts w:ascii="Arial" w:hAnsi="Arial" w:cs="Arial"/>
          <w:szCs w:val="22"/>
        </w:rPr>
        <w:t>’</w:t>
      </w:r>
      <w:r>
        <w:rPr>
          <w:rFonts w:ascii="Arial" w:hAnsi="Arial" w:cs="Arial"/>
          <w:szCs w:val="22"/>
        </w:rPr>
        <w:t xml:space="preserve"> </w:t>
      </w:r>
      <w:r w:rsidR="00E05B5D">
        <w:rPr>
          <w:rFonts w:ascii="Arial" w:hAnsi="Arial" w:cs="Arial"/>
          <w:szCs w:val="22"/>
        </w:rPr>
        <w:t xml:space="preserve">ability to </w:t>
      </w:r>
      <w:r w:rsidR="00FE1039">
        <w:rPr>
          <w:rFonts w:ascii="Arial" w:hAnsi="Arial" w:cs="Arial"/>
          <w:szCs w:val="22"/>
        </w:rPr>
        <w:t xml:space="preserve">invest in a wide range of financial instruments </w:t>
      </w:r>
      <w:r>
        <w:rPr>
          <w:rFonts w:ascii="Arial" w:hAnsi="Arial" w:cs="Arial"/>
          <w:szCs w:val="22"/>
        </w:rPr>
        <w:t>and this paper proposes a formal response on the issues t</w:t>
      </w:r>
      <w:r w:rsidR="00D1012F">
        <w:rPr>
          <w:rFonts w:ascii="Arial" w:hAnsi="Arial" w:cs="Arial"/>
          <w:szCs w:val="22"/>
        </w:rPr>
        <w:t>hat directly affect local autho</w:t>
      </w:r>
      <w:r>
        <w:rPr>
          <w:rFonts w:ascii="Arial" w:hAnsi="Arial" w:cs="Arial"/>
          <w:szCs w:val="22"/>
        </w:rPr>
        <w:t>rities.</w:t>
      </w: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73A69973" w14:textId="45B3A871" w:rsidR="00540228" w:rsidRDefault="001225A9" w:rsidP="00540228">
            <w:pPr>
              <w:pStyle w:val="MainText"/>
              <w:spacing w:line="240" w:lineRule="auto"/>
              <w:rPr>
                <w:rFonts w:ascii="Arial" w:hAnsi="Arial" w:cs="Arial"/>
                <w:szCs w:val="22"/>
              </w:rPr>
            </w:pPr>
            <w:r>
              <w:rPr>
                <w:rFonts w:ascii="Arial" w:hAnsi="Arial" w:cs="Arial"/>
                <w:szCs w:val="22"/>
              </w:rPr>
              <w:t xml:space="preserve">That </w:t>
            </w:r>
            <w:r w:rsidR="00B25334">
              <w:rPr>
                <w:rFonts w:ascii="Arial" w:hAnsi="Arial" w:cs="Arial"/>
                <w:szCs w:val="22"/>
              </w:rPr>
              <w:t>the LGA</w:t>
            </w:r>
            <w:r w:rsidR="00373AAF" w:rsidRPr="0080612D">
              <w:rPr>
                <w:rFonts w:ascii="Arial" w:hAnsi="Arial" w:cs="Arial"/>
                <w:szCs w:val="22"/>
              </w:rPr>
              <w:t xml:space="preserve"> </w:t>
            </w:r>
            <w:r w:rsidR="008F78E9">
              <w:rPr>
                <w:rFonts w:ascii="Arial" w:hAnsi="Arial" w:cs="Arial"/>
                <w:szCs w:val="22"/>
              </w:rPr>
              <w:t xml:space="preserve">Resources Board </w:t>
            </w:r>
            <w:r w:rsidR="00077621">
              <w:rPr>
                <w:rFonts w:ascii="Arial" w:hAnsi="Arial" w:cs="Arial"/>
                <w:szCs w:val="22"/>
              </w:rPr>
              <w:t xml:space="preserve">agree the draft response to the consultation </w:t>
            </w:r>
            <w:r w:rsidR="00B25334">
              <w:rPr>
                <w:rFonts w:ascii="Arial" w:hAnsi="Arial" w:cs="Arial"/>
                <w:szCs w:val="22"/>
              </w:rPr>
              <w:t xml:space="preserve">attached at </w:t>
            </w:r>
            <w:r w:rsidR="00B25334" w:rsidRPr="00B25334">
              <w:rPr>
                <w:rFonts w:ascii="Arial" w:hAnsi="Arial" w:cs="Arial"/>
                <w:b/>
                <w:szCs w:val="22"/>
                <w:u w:val="single"/>
              </w:rPr>
              <w:t>Appendix A</w:t>
            </w:r>
            <w:r w:rsidR="00B25334">
              <w:rPr>
                <w:rFonts w:ascii="Arial" w:hAnsi="Arial" w:cs="Arial"/>
                <w:szCs w:val="22"/>
              </w:rPr>
              <w:t xml:space="preserve">. </w:t>
            </w:r>
          </w:p>
          <w:p w14:paraId="5959C178" w14:textId="77777777" w:rsidR="00540228" w:rsidRPr="0021114E" w:rsidRDefault="00540228" w:rsidP="00540228">
            <w:pPr>
              <w:pStyle w:val="MainText"/>
              <w:spacing w:line="240" w:lineRule="auto"/>
              <w:rPr>
                <w:rFonts w:ascii="Arial" w:hAnsi="Arial" w:cs="Arial"/>
                <w:szCs w:val="22"/>
              </w:rPr>
            </w:pPr>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1A706D2E" w:rsidR="00A601EC" w:rsidRPr="0021114E" w:rsidRDefault="00C61901" w:rsidP="0021114E">
            <w:pPr>
              <w:pStyle w:val="MainText"/>
              <w:spacing w:line="240" w:lineRule="auto"/>
              <w:rPr>
                <w:rFonts w:ascii="Arial" w:hAnsi="Arial" w:cs="Arial"/>
                <w:szCs w:val="22"/>
              </w:rPr>
            </w:pPr>
            <w:r>
              <w:rPr>
                <w:rFonts w:ascii="Arial" w:hAnsi="Arial" w:cs="Arial"/>
                <w:szCs w:val="22"/>
              </w:rPr>
              <w:t xml:space="preserve">That member’s comments are reflected in the response before it </w:t>
            </w:r>
            <w:r w:rsidR="00077621">
              <w:rPr>
                <w:rFonts w:ascii="Arial" w:hAnsi="Arial" w:cs="Arial"/>
                <w:szCs w:val="22"/>
              </w:rPr>
              <w:t xml:space="preserve">is submitted to the </w:t>
            </w:r>
            <w:r w:rsidR="005250DF">
              <w:rPr>
                <w:rFonts w:ascii="Arial" w:hAnsi="Arial" w:cs="Arial"/>
                <w:szCs w:val="22"/>
              </w:rPr>
              <w:t>Financial Conduct Authority</w:t>
            </w:r>
            <w:r w:rsidR="00077621">
              <w:rPr>
                <w:rFonts w:ascii="Arial" w:hAnsi="Arial" w:cs="Arial"/>
                <w:szCs w:val="22"/>
              </w:rPr>
              <w:t>.</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0A4D465F" w14:textId="77777777" w:rsidTr="008D332D">
        <w:tc>
          <w:tcPr>
            <w:tcW w:w="2802" w:type="dxa"/>
          </w:tcPr>
          <w:p w14:paraId="423F6FB4" w14:textId="53C4E940"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FE1039">
              <w:rPr>
                <w:rFonts w:ascii="Arial" w:hAnsi="Arial" w:cs="Arial"/>
                <w:b/>
                <w:szCs w:val="22"/>
              </w:rPr>
              <w:t>s</w:t>
            </w:r>
            <w:r w:rsidRPr="0021114E">
              <w:rPr>
                <w:rFonts w:ascii="Arial" w:hAnsi="Arial" w:cs="Arial"/>
                <w:b/>
                <w:szCs w:val="22"/>
              </w:rPr>
              <w:t>:</w:t>
            </w:r>
            <w:r w:rsidR="008F3A81" w:rsidRPr="0021114E">
              <w:rPr>
                <w:rFonts w:ascii="Arial" w:hAnsi="Arial" w:cs="Arial"/>
                <w:szCs w:val="22"/>
              </w:rPr>
              <w:t xml:space="preserve"> </w:t>
            </w:r>
          </w:p>
        </w:tc>
        <w:tc>
          <w:tcPr>
            <w:tcW w:w="6378" w:type="dxa"/>
          </w:tcPr>
          <w:p w14:paraId="16AD1D64" w14:textId="574247CA" w:rsidR="00CC0245" w:rsidRPr="0021114E" w:rsidRDefault="00D1012F" w:rsidP="0021114E">
            <w:pPr>
              <w:pStyle w:val="MainText"/>
              <w:spacing w:before="120" w:line="240" w:lineRule="auto"/>
              <w:rPr>
                <w:rFonts w:ascii="Arial" w:hAnsi="Arial" w:cs="Arial"/>
                <w:szCs w:val="22"/>
              </w:rPr>
            </w:pPr>
            <w:r>
              <w:rPr>
                <w:rFonts w:ascii="Arial" w:hAnsi="Arial" w:cs="Arial"/>
                <w:szCs w:val="22"/>
              </w:rPr>
              <w:t xml:space="preserve">Jeff Houston / </w:t>
            </w:r>
            <w:r w:rsidR="00077621">
              <w:rPr>
                <w:rFonts w:ascii="Arial" w:hAnsi="Arial" w:cs="Arial"/>
                <w:szCs w:val="22"/>
              </w:rPr>
              <w:t>Bevis Ingram</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59890F7D" w:rsidR="00C9258A" w:rsidRPr="0021114E" w:rsidRDefault="00D1012F" w:rsidP="0021114E">
            <w:pPr>
              <w:pStyle w:val="MainText"/>
              <w:spacing w:before="120" w:line="240" w:lineRule="auto"/>
              <w:rPr>
                <w:rFonts w:ascii="Arial" w:hAnsi="Arial" w:cs="Arial"/>
                <w:szCs w:val="22"/>
              </w:rPr>
            </w:pPr>
            <w:r>
              <w:rPr>
                <w:rFonts w:ascii="Arial" w:hAnsi="Arial" w:cs="Arial"/>
                <w:szCs w:val="22"/>
              </w:rPr>
              <w:t xml:space="preserve">Head of Pensions / </w:t>
            </w:r>
            <w:r w:rsidR="00C34433">
              <w:rPr>
                <w:rFonts w:ascii="Arial" w:hAnsi="Arial" w:cs="Arial"/>
                <w:szCs w:val="22"/>
              </w:rPr>
              <w:t>Senior Adviser, Local Government Finance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5EB80AC5" w:rsidR="00CC0245" w:rsidRPr="0021114E" w:rsidRDefault="00D1012F" w:rsidP="00077621">
            <w:pPr>
              <w:pStyle w:val="MainText"/>
              <w:spacing w:before="120" w:line="240" w:lineRule="auto"/>
              <w:rPr>
                <w:rFonts w:ascii="Arial" w:hAnsi="Arial" w:cs="Arial"/>
                <w:szCs w:val="22"/>
              </w:rPr>
            </w:pPr>
            <w:r>
              <w:rPr>
                <w:rFonts w:ascii="Arial" w:hAnsi="Arial" w:cs="Arial"/>
                <w:szCs w:val="22"/>
              </w:rPr>
              <w:t xml:space="preserve">020 7187 7346 / </w:t>
            </w:r>
            <w:r w:rsidR="00180849">
              <w:rPr>
                <w:rFonts w:ascii="Arial" w:hAnsi="Arial" w:cs="Arial"/>
                <w:szCs w:val="22"/>
              </w:rPr>
              <w:t>020 7664 3</w:t>
            </w:r>
            <w:r w:rsidR="00C34433">
              <w:rPr>
                <w:rFonts w:ascii="Arial" w:hAnsi="Arial" w:cs="Arial"/>
                <w:szCs w:val="22"/>
              </w:rPr>
              <w:t>2</w:t>
            </w:r>
            <w:r w:rsidR="00077621">
              <w:rPr>
                <w:rFonts w:ascii="Arial" w:hAnsi="Arial" w:cs="Arial"/>
                <w:szCs w:val="22"/>
              </w:rPr>
              <w:t>57</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48BCE178" w14:textId="06CD1F3E" w:rsidR="00D1012F" w:rsidRDefault="00D45AFC" w:rsidP="00077621">
            <w:pPr>
              <w:pStyle w:val="MainText"/>
              <w:spacing w:before="120" w:line="240" w:lineRule="auto"/>
              <w:rPr>
                <w:rFonts w:ascii="Arial" w:hAnsi="Arial" w:cs="Arial"/>
                <w:szCs w:val="22"/>
              </w:rPr>
            </w:pPr>
            <w:hyperlink r:id="rId11" w:history="1">
              <w:r w:rsidR="00D1012F" w:rsidRPr="0020315E">
                <w:rPr>
                  <w:rStyle w:val="Hyperlink"/>
                  <w:rFonts w:ascii="Arial" w:hAnsi="Arial" w:cs="Arial"/>
                  <w:szCs w:val="22"/>
                </w:rPr>
                <w:t>Jeff.houston@local.gov.uk</w:t>
              </w:r>
            </w:hyperlink>
            <w:r w:rsidR="00D1012F">
              <w:rPr>
                <w:rFonts w:ascii="Arial" w:hAnsi="Arial" w:cs="Arial"/>
                <w:szCs w:val="22"/>
              </w:rPr>
              <w:t xml:space="preserve"> / </w:t>
            </w:r>
            <w:hyperlink r:id="rId12" w:history="1">
              <w:r w:rsidR="00D1012F" w:rsidRPr="0020315E">
                <w:rPr>
                  <w:rStyle w:val="Hyperlink"/>
                  <w:rFonts w:ascii="Arial" w:hAnsi="Arial" w:cs="Arial"/>
                  <w:szCs w:val="22"/>
                </w:rPr>
                <w:t>Bevis.ingram@local.gov.uk</w:t>
              </w:r>
            </w:hyperlink>
          </w:p>
          <w:p w14:paraId="7BD5C762" w14:textId="11229642" w:rsidR="001A07F1" w:rsidRPr="0021114E" w:rsidRDefault="008F3A81" w:rsidP="00077621">
            <w:pPr>
              <w:pStyle w:val="MainText"/>
              <w:spacing w:before="120" w:line="240" w:lineRule="auto"/>
              <w:rPr>
                <w:rFonts w:ascii="Arial" w:hAnsi="Arial" w:cs="Arial"/>
                <w:szCs w:val="22"/>
              </w:rPr>
            </w:pPr>
            <w:r w:rsidRPr="0021114E">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3"/>
          <w:footerReference w:type="default" r:id="rId14"/>
          <w:headerReference w:type="first" r:id="rId15"/>
          <w:pgSz w:w="11907" w:h="16840" w:code="9"/>
          <w:pgMar w:top="1418" w:right="1418" w:bottom="851"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477A8867" w14:textId="77777777" w:rsidR="00C92850" w:rsidRDefault="00C92850" w:rsidP="00C92850">
      <w:pPr>
        <w:pStyle w:val="MainText"/>
        <w:spacing w:line="240" w:lineRule="auto"/>
        <w:rPr>
          <w:rFonts w:ascii="Arial" w:hAnsi="Arial" w:cs="Arial"/>
          <w:b/>
          <w:sz w:val="28"/>
          <w:szCs w:val="28"/>
        </w:rPr>
      </w:pPr>
      <w:bookmarkStart w:id="2" w:name="MainHeading2"/>
      <w:bookmarkEnd w:id="2"/>
      <w:r w:rsidRPr="00A41EC4">
        <w:rPr>
          <w:rFonts w:ascii="Arial" w:hAnsi="Arial" w:cs="Arial"/>
          <w:b/>
          <w:sz w:val="28"/>
          <w:szCs w:val="28"/>
        </w:rPr>
        <w:lastRenderedPageBreak/>
        <w:t>Response to Markets in Financial Instruments Directive II Implementation</w:t>
      </w:r>
      <w:r>
        <w:rPr>
          <w:rFonts w:ascii="Arial" w:hAnsi="Arial" w:cs="Arial"/>
          <w:b/>
          <w:sz w:val="28"/>
          <w:szCs w:val="28"/>
        </w:rPr>
        <w:t xml:space="preserve">: </w:t>
      </w:r>
      <w:r w:rsidRPr="00A41EC4">
        <w:rPr>
          <w:rFonts w:ascii="Arial" w:hAnsi="Arial" w:cs="Arial"/>
          <w:b/>
          <w:sz w:val="28"/>
          <w:szCs w:val="28"/>
        </w:rPr>
        <w:t xml:space="preserve">Consultation Paper III  </w:t>
      </w:r>
    </w:p>
    <w:p w14:paraId="025C2272" w14:textId="77777777" w:rsidR="0021114E" w:rsidRPr="0021114E" w:rsidRDefault="0021114E" w:rsidP="00F70528">
      <w:pPr>
        <w:pStyle w:val="MainText"/>
        <w:spacing w:line="240" w:lineRule="auto"/>
        <w:jc w:val="both"/>
        <w:rPr>
          <w:rFonts w:ascii="Arial" w:hAnsi="Arial" w:cs="Arial"/>
          <w:b/>
          <w:color w:val="FF0000"/>
          <w:szCs w:val="22"/>
        </w:rPr>
      </w:pPr>
    </w:p>
    <w:p w14:paraId="23A219D3" w14:textId="77777777" w:rsidR="00A05560" w:rsidRPr="0021114E" w:rsidRDefault="00A05560" w:rsidP="00F70528">
      <w:pPr>
        <w:pStyle w:val="MainText"/>
        <w:spacing w:line="240" w:lineRule="auto"/>
        <w:jc w:val="both"/>
        <w:rPr>
          <w:rFonts w:ascii="Arial" w:hAnsi="Arial" w:cs="Arial"/>
          <w:szCs w:val="22"/>
        </w:rPr>
      </w:pPr>
      <w:r w:rsidRPr="0021114E">
        <w:rPr>
          <w:rFonts w:ascii="Arial" w:hAnsi="Arial" w:cs="Arial"/>
          <w:b/>
          <w:szCs w:val="22"/>
        </w:rPr>
        <w:t>Background</w:t>
      </w:r>
    </w:p>
    <w:p w14:paraId="1CC58627" w14:textId="77777777" w:rsidR="008F3A81" w:rsidRPr="0021114E" w:rsidRDefault="008F3A81" w:rsidP="00F70528">
      <w:pPr>
        <w:pStyle w:val="MainText"/>
        <w:spacing w:line="240" w:lineRule="auto"/>
        <w:jc w:val="both"/>
        <w:rPr>
          <w:rFonts w:ascii="Arial" w:hAnsi="Arial" w:cs="Arial"/>
          <w:szCs w:val="22"/>
        </w:rPr>
      </w:pPr>
    </w:p>
    <w:p w14:paraId="25E454ED" w14:textId="71371550" w:rsidR="005A691F" w:rsidRDefault="00D1012F" w:rsidP="005A691F">
      <w:pPr>
        <w:pStyle w:val="MainText"/>
        <w:numPr>
          <w:ilvl w:val="0"/>
          <w:numId w:val="5"/>
        </w:numPr>
        <w:jc w:val="both"/>
        <w:rPr>
          <w:rFonts w:ascii="Arial" w:hAnsi="Arial" w:cs="Arial"/>
          <w:szCs w:val="22"/>
        </w:rPr>
      </w:pPr>
      <w:r w:rsidRPr="00D1012F">
        <w:rPr>
          <w:rFonts w:ascii="Arial" w:hAnsi="Arial" w:cs="Arial"/>
          <w:szCs w:val="22"/>
        </w:rPr>
        <w:t xml:space="preserve">The Markets in Financial Instruments Directive </w:t>
      </w:r>
      <w:r w:rsidR="005A691F">
        <w:rPr>
          <w:rFonts w:ascii="Arial" w:hAnsi="Arial" w:cs="Arial"/>
          <w:szCs w:val="22"/>
        </w:rPr>
        <w:t>II</w:t>
      </w:r>
      <w:r w:rsidRPr="00D1012F">
        <w:rPr>
          <w:rFonts w:ascii="Arial" w:hAnsi="Arial" w:cs="Arial"/>
          <w:szCs w:val="22"/>
        </w:rPr>
        <w:t xml:space="preserve"> (MiFID</w:t>
      </w:r>
      <w:r w:rsidR="005A691F">
        <w:rPr>
          <w:rFonts w:ascii="Arial" w:hAnsi="Arial" w:cs="Arial"/>
          <w:szCs w:val="22"/>
        </w:rPr>
        <w:t xml:space="preserve"> II</w:t>
      </w:r>
      <w:r w:rsidRPr="00D1012F">
        <w:rPr>
          <w:rFonts w:ascii="Arial" w:hAnsi="Arial" w:cs="Arial"/>
          <w:szCs w:val="22"/>
        </w:rPr>
        <w:t>) is a package of EU legislation</w:t>
      </w:r>
      <w:r w:rsidR="008A5A4E">
        <w:rPr>
          <w:rFonts w:ascii="Arial" w:hAnsi="Arial" w:cs="Arial"/>
          <w:szCs w:val="22"/>
        </w:rPr>
        <w:t xml:space="preserve">, </w:t>
      </w:r>
      <w:r w:rsidR="00CB0031">
        <w:rPr>
          <w:rFonts w:ascii="Arial" w:hAnsi="Arial" w:cs="Arial"/>
          <w:szCs w:val="22"/>
        </w:rPr>
        <w:t>introduced</w:t>
      </w:r>
      <w:r w:rsidR="00FE1039">
        <w:rPr>
          <w:rFonts w:ascii="Arial" w:hAnsi="Arial" w:cs="Arial"/>
          <w:szCs w:val="22"/>
        </w:rPr>
        <w:t xml:space="preserve"> in 2014</w:t>
      </w:r>
      <w:r w:rsidR="008A5A4E">
        <w:rPr>
          <w:rFonts w:ascii="Arial" w:hAnsi="Arial" w:cs="Arial"/>
          <w:szCs w:val="22"/>
        </w:rPr>
        <w:t>,</w:t>
      </w:r>
      <w:r w:rsidR="00056076">
        <w:rPr>
          <w:rFonts w:ascii="Arial" w:hAnsi="Arial" w:cs="Arial"/>
          <w:szCs w:val="22"/>
        </w:rPr>
        <w:t xml:space="preserve"> </w:t>
      </w:r>
      <w:r w:rsidRPr="00D1012F">
        <w:rPr>
          <w:rFonts w:ascii="Arial" w:hAnsi="Arial" w:cs="Arial"/>
          <w:szCs w:val="22"/>
        </w:rPr>
        <w:t>which regulates both retail and wholesale</w:t>
      </w:r>
      <w:r>
        <w:rPr>
          <w:rFonts w:ascii="Arial" w:hAnsi="Arial" w:cs="Arial"/>
          <w:szCs w:val="22"/>
        </w:rPr>
        <w:t xml:space="preserve"> </w:t>
      </w:r>
      <w:r w:rsidRPr="00D1012F">
        <w:rPr>
          <w:rFonts w:ascii="Arial" w:hAnsi="Arial" w:cs="Arial"/>
          <w:szCs w:val="22"/>
        </w:rPr>
        <w:t>investment business</w:t>
      </w:r>
      <w:r w:rsidR="008A5A4E">
        <w:rPr>
          <w:rFonts w:ascii="Arial" w:hAnsi="Arial" w:cs="Arial"/>
          <w:szCs w:val="22"/>
        </w:rPr>
        <w:t xml:space="preserve"> in the UK</w:t>
      </w:r>
      <w:r>
        <w:rPr>
          <w:rFonts w:ascii="Arial" w:hAnsi="Arial" w:cs="Arial"/>
          <w:szCs w:val="22"/>
        </w:rPr>
        <w:t xml:space="preserve">. </w:t>
      </w:r>
      <w:r w:rsidR="005A691F" w:rsidRPr="005A691F">
        <w:rPr>
          <w:rFonts w:ascii="Arial" w:hAnsi="Arial" w:cs="Arial"/>
          <w:szCs w:val="22"/>
        </w:rPr>
        <w:t>The aim of the MiFID legislation is to strengthen protection for investors. In this case investors includes local authorities and local authority pension funds</w:t>
      </w:r>
      <w:r w:rsidR="00E05B5D">
        <w:rPr>
          <w:rFonts w:ascii="Arial" w:hAnsi="Arial" w:cs="Arial"/>
          <w:szCs w:val="22"/>
        </w:rPr>
        <w:t>. U</w:t>
      </w:r>
      <w:r w:rsidR="00432292">
        <w:rPr>
          <w:rFonts w:ascii="Arial" w:hAnsi="Arial" w:cs="Arial"/>
          <w:szCs w:val="22"/>
        </w:rPr>
        <w:t xml:space="preserve">nder the proposals, pension fund authorities are </w:t>
      </w:r>
      <w:r w:rsidR="00FF3343">
        <w:rPr>
          <w:rFonts w:ascii="Arial" w:hAnsi="Arial" w:cs="Arial"/>
          <w:szCs w:val="22"/>
        </w:rPr>
        <w:t>treated</w:t>
      </w:r>
      <w:r w:rsidR="00432292">
        <w:rPr>
          <w:rFonts w:ascii="Arial" w:hAnsi="Arial" w:cs="Arial"/>
          <w:szCs w:val="22"/>
        </w:rPr>
        <w:t xml:space="preserve"> </w:t>
      </w:r>
      <w:r w:rsidR="00AE112F">
        <w:rPr>
          <w:rFonts w:ascii="Arial" w:hAnsi="Arial" w:cs="Arial"/>
          <w:szCs w:val="22"/>
        </w:rPr>
        <w:t xml:space="preserve">as a </w:t>
      </w:r>
      <w:r w:rsidR="00432292">
        <w:rPr>
          <w:rFonts w:ascii="Arial" w:hAnsi="Arial" w:cs="Arial"/>
          <w:szCs w:val="22"/>
        </w:rPr>
        <w:t>separate</w:t>
      </w:r>
      <w:r w:rsidR="00AE112F">
        <w:rPr>
          <w:rFonts w:ascii="Arial" w:hAnsi="Arial" w:cs="Arial"/>
          <w:szCs w:val="22"/>
        </w:rPr>
        <w:t xml:space="preserve"> investor</w:t>
      </w:r>
      <w:r w:rsidR="00432292">
        <w:rPr>
          <w:rFonts w:ascii="Arial" w:hAnsi="Arial" w:cs="Arial"/>
          <w:szCs w:val="22"/>
        </w:rPr>
        <w:t xml:space="preserve"> from the </w:t>
      </w:r>
      <w:r w:rsidR="00CB0031">
        <w:rPr>
          <w:rFonts w:ascii="Arial" w:hAnsi="Arial" w:cs="Arial"/>
          <w:szCs w:val="22"/>
        </w:rPr>
        <w:t>authority</w:t>
      </w:r>
      <w:r w:rsidR="00432292">
        <w:rPr>
          <w:rFonts w:ascii="Arial" w:hAnsi="Arial" w:cs="Arial"/>
          <w:szCs w:val="22"/>
        </w:rPr>
        <w:t xml:space="preserve"> that hosts them.</w:t>
      </w:r>
    </w:p>
    <w:p w14:paraId="51D15DD3" w14:textId="77777777" w:rsidR="00A34BD9" w:rsidRPr="005A691F" w:rsidRDefault="00A34BD9" w:rsidP="00A34BD9">
      <w:pPr>
        <w:pStyle w:val="MainText"/>
        <w:ind w:left="720"/>
        <w:jc w:val="both"/>
        <w:rPr>
          <w:rFonts w:ascii="Arial" w:hAnsi="Arial" w:cs="Arial"/>
          <w:szCs w:val="22"/>
        </w:rPr>
      </w:pPr>
    </w:p>
    <w:p w14:paraId="0CF58481" w14:textId="5FD79A65" w:rsidR="00AE112F" w:rsidRDefault="008A5A4E" w:rsidP="00FE1039">
      <w:pPr>
        <w:pStyle w:val="MainText"/>
        <w:numPr>
          <w:ilvl w:val="0"/>
          <w:numId w:val="5"/>
        </w:numPr>
        <w:spacing w:line="240" w:lineRule="auto"/>
        <w:jc w:val="both"/>
        <w:rPr>
          <w:rFonts w:ascii="Arial" w:eastAsia="Arial Unicode MS" w:hAnsi="Arial" w:cs="Arial"/>
          <w:szCs w:val="22"/>
          <w:bdr w:val="nil"/>
          <w:lang w:eastAsia="en-US"/>
        </w:rPr>
      </w:pPr>
      <w:r w:rsidRPr="00FE1039">
        <w:rPr>
          <w:rFonts w:ascii="Arial" w:hAnsi="Arial" w:cs="Arial"/>
          <w:szCs w:val="22"/>
        </w:rPr>
        <w:t xml:space="preserve">On the </w:t>
      </w:r>
      <w:r w:rsidR="00FE1039" w:rsidRPr="00FE1039">
        <w:rPr>
          <w:rFonts w:ascii="Arial" w:hAnsi="Arial" w:cs="Arial"/>
          <w:szCs w:val="22"/>
        </w:rPr>
        <w:t>29</w:t>
      </w:r>
      <w:r w:rsidR="00EA496C">
        <w:rPr>
          <w:rFonts w:ascii="Arial" w:hAnsi="Arial" w:cs="Arial"/>
          <w:szCs w:val="22"/>
        </w:rPr>
        <w:t xml:space="preserve"> </w:t>
      </w:r>
      <w:r w:rsidRPr="00FE1039">
        <w:rPr>
          <w:rFonts w:ascii="Arial" w:hAnsi="Arial" w:cs="Arial"/>
          <w:szCs w:val="22"/>
        </w:rPr>
        <w:t xml:space="preserve">September </w:t>
      </w:r>
      <w:r w:rsidR="009123A5">
        <w:rPr>
          <w:rFonts w:ascii="Arial" w:hAnsi="Arial" w:cs="Arial"/>
          <w:szCs w:val="22"/>
        </w:rPr>
        <w:t xml:space="preserve">2016, </w:t>
      </w:r>
      <w:r w:rsidRPr="00FE1039">
        <w:rPr>
          <w:rFonts w:ascii="Arial" w:hAnsi="Arial" w:cs="Arial"/>
          <w:szCs w:val="22"/>
        </w:rPr>
        <w:t>the</w:t>
      </w:r>
      <w:r w:rsidR="005A691F" w:rsidRPr="00FE1039">
        <w:rPr>
          <w:rFonts w:ascii="Arial" w:hAnsi="Arial" w:cs="Arial"/>
          <w:szCs w:val="22"/>
        </w:rPr>
        <w:t xml:space="preserve"> Financial Conduct Authority (FCA)</w:t>
      </w:r>
      <w:r w:rsidRPr="00FE1039">
        <w:rPr>
          <w:rFonts w:ascii="Arial" w:hAnsi="Arial" w:cs="Arial"/>
          <w:szCs w:val="22"/>
        </w:rPr>
        <w:t xml:space="preserve">, published a consultation on </w:t>
      </w:r>
      <w:r w:rsidR="005A691F" w:rsidRPr="00FE1039">
        <w:rPr>
          <w:rFonts w:ascii="Arial" w:hAnsi="Arial" w:cs="Arial"/>
          <w:szCs w:val="22"/>
        </w:rPr>
        <w:t xml:space="preserve">how the legislation will be implemented in the UK. </w:t>
      </w:r>
      <w:r w:rsidRPr="00FE1039">
        <w:rPr>
          <w:rFonts w:ascii="Arial" w:hAnsi="Arial" w:cs="Arial"/>
          <w:szCs w:val="22"/>
        </w:rPr>
        <w:t>There</w:t>
      </w:r>
      <w:r w:rsidR="005A691F" w:rsidRPr="00FE1039">
        <w:rPr>
          <w:rFonts w:ascii="Arial" w:hAnsi="Arial" w:cs="Arial"/>
          <w:szCs w:val="22"/>
        </w:rPr>
        <w:t xml:space="preserve"> are some proposal</w:t>
      </w:r>
      <w:r w:rsidRPr="00FE1039">
        <w:rPr>
          <w:rFonts w:ascii="Arial" w:hAnsi="Arial" w:cs="Arial"/>
          <w:szCs w:val="22"/>
        </w:rPr>
        <w:t>s</w:t>
      </w:r>
      <w:r w:rsidR="005A691F" w:rsidRPr="00FE1039">
        <w:rPr>
          <w:rFonts w:ascii="Arial" w:hAnsi="Arial" w:cs="Arial"/>
          <w:szCs w:val="22"/>
        </w:rPr>
        <w:t xml:space="preserve"> </w:t>
      </w:r>
      <w:r w:rsidRPr="00FE1039">
        <w:rPr>
          <w:rFonts w:ascii="Arial" w:hAnsi="Arial" w:cs="Arial"/>
          <w:szCs w:val="22"/>
        </w:rPr>
        <w:t xml:space="preserve">in the consultation </w:t>
      </w:r>
      <w:r w:rsidR="005A691F" w:rsidRPr="00FE1039">
        <w:rPr>
          <w:rFonts w:ascii="Arial" w:hAnsi="Arial" w:cs="Arial"/>
          <w:szCs w:val="22"/>
        </w:rPr>
        <w:t xml:space="preserve">which go </w:t>
      </w:r>
      <w:r w:rsidR="009E26D9" w:rsidRPr="00FE1039">
        <w:rPr>
          <w:rFonts w:ascii="Arial" w:hAnsi="Arial" w:cs="Arial"/>
          <w:szCs w:val="22"/>
        </w:rPr>
        <w:t xml:space="preserve">far </w:t>
      </w:r>
      <w:r w:rsidR="005A691F" w:rsidRPr="00FE1039">
        <w:rPr>
          <w:rFonts w:ascii="Arial" w:hAnsi="Arial" w:cs="Arial"/>
          <w:szCs w:val="22"/>
        </w:rPr>
        <w:t>beyond the basic legislation and therefore should be seen as discretionary for the UK.</w:t>
      </w:r>
      <w:r w:rsidR="005A691F" w:rsidRPr="00EA496C">
        <w:rPr>
          <w:rFonts w:ascii="Arial" w:hAnsi="Arial" w:cs="Arial"/>
          <w:szCs w:val="22"/>
        </w:rPr>
        <w:t xml:space="preserve"> </w:t>
      </w:r>
      <w:r w:rsidR="005A691F" w:rsidRPr="00FE1039">
        <w:rPr>
          <w:rFonts w:ascii="Arial" w:eastAsia="Arial Unicode MS" w:hAnsi="Arial" w:cs="Arial"/>
          <w:szCs w:val="22"/>
          <w:bdr w:val="nil"/>
          <w:lang w:eastAsia="en-US"/>
        </w:rPr>
        <w:t xml:space="preserve">The proposals </w:t>
      </w:r>
      <w:r w:rsidRPr="00FE1039">
        <w:rPr>
          <w:rFonts w:ascii="Arial" w:eastAsia="Arial Unicode MS" w:hAnsi="Arial" w:cs="Arial"/>
          <w:szCs w:val="22"/>
          <w:bdr w:val="nil"/>
          <w:lang w:eastAsia="en-US"/>
        </w:rPr>
        <w:t>would</w:t>
      </w:r>
      <w:r w:rsidR="002570D0" w:rsidRPr="00FE1039">
        <w:rPr>
          <w:rFonts w:ascii="Arial" w:eastAsia="Arial Unicode MS" w:hAnsi="Arial" w:cs="Arial"/>
          <w:szCs w:val="22"/>
          <w:bdr w:val="nil"/>
          <w:lang w:eastAsia="en-US"/>
        </w:rPr>
        <w:t xml:space="preserve"> reclassify</w:t>
      </w:r>
      <w:r w:rsidR="009E26D9" w:rsidRPr="00FE1039">
        <w:rPr>
          <w:rFonts w:ascii="Arial" w:eastAsia="Arial Unicode MS" w:hAnsi="Arial" w:cs="Arial"/>
          <w:szCs w:val="22"/>
          <w:bdr w:val="nil"/>
          <w:lang w:eastAsia="en-US"/>
        </w:rPr>
        <w:t xml:space="preserve"> the stat</w:t>
      </w:r>
      <w:r w:rsidR="002570D0" w:rsidRPr="00FE1039">
        <w:rPr>
          <w:rFonts w:ascii="Arial" w:eastAsia="Arial Unicode MS" w:hAnsi="Arial" w:cs="Arial"/>
          <w:szCs w:val="22"/>
          <w:bdr w:val="nil"/>
          <w:lang w:eastAsia="en-US"/>
        </w:rPr>
        <w:t xml:space="preserve">us of local authorities </w:t>
      </w:r>
      <w:r w:rsidR="009E26D9" w:rsidRPr="00FE1039">
        <w:rPr>
          <w:rFonts w:ascii="Arial" w:eastAsia="Arial Unicode MS" w:hAnsi="Arial" w:cs="Arial"/>
          <w:szCs w:val="22"/>
          <w:bdr w:val="nil"/>
          <w:lang w:eastAsia="en-US"/>
        </w:rPr>
        <w:t xml:space="preserve">and this </w:t>
      </w:r>
      <w:r w:rsidR="005A691F" w:rsidRPr="00FE1039">
        <w:rPr>
          <w:rFonts w:ascii="Arial" w:eastAsia="Arial Unicode MS" w:hAnsi="Arial" w:cs="Arial"/>
          <w:szCs w:val="22"/>
          <w:bdr w:val="nil"/>
          <w:lang w:eastAsia="en-US"/>
        </w:rPr>
        <w:t xml:space="preserve">will have a major impact on the ability of local authorities </w:t>
      </w:r>
      <w:r w:rsidR="002570D0" w:rsidRPr="00FE1039">
        <w:rPr>
          <w:rFonts w:ascii="Arial" w:eastAsia="Arial Unicode MS" w:hAnsi="Arial" w:cs="Arial"/>
          <w:szCs w:val="22"/>
          <w:bdr w:val="nil"/>
          <w:lang w:eastAsia="en-US"/>
        </w:rPr>
        <w:t>to i</w:t>
      </w:r>
      <w:r w:rsidR="009E26D9" w:rsidRPr="00FE1039">
        <w:rPr>
          <w:rFonts w:ascii="Arial" w:eastAsia="Arial Unicode MS" w:hAnsi="Arial" w:cs="Arial"/>
          <w:szCs w:val="22"/>
          <w:bdr w:val="nil"/>
          <w:lang w:eastAsia="en-US"/>
        </w:rPr>
        <w:t>nvest in financial instruments other than (in many cases) basic bank deposits.</w:t>
      </w:r>
      <w:r w:rsidR="000D496C" w:rsidRPr="00FE1039">
        <w:rPr>
          <w:rFonts w:ascii="Arial" w:eastAsia="Arial Unicode MS" w:hAnsi="Arial" w:cs="Arial"/>
          <w:szCs w:val="22"/>
          <w:bdr w:val="nil"/>
          <w:lang w:eastAsia="en-US"/>
        </w:rPr>
        <w:t xml:space="preserve"> It will, for example, make it difficult for local authorities to lend to each other</w:t>
      </w:r>
      <w:r w:rsidRPr="00FE1039">
        <w:rPr>
          <w:rFonts w:ascii="Arial" w:eastAsia="Arial Unicode MS" w:hAnsi="Arial" w:cs="Arial"/>
          <w:szCs w:val="22"/>
          <w:bdr w:val="nil"/>
          <w:lang w:eastAsia="en-US"/>
        </w:rPr>
        <w:t xml:space="preserve"> despite the fact that</w:t>
      </w:r>
      <w:r w:rsidR="00FE1039">
        <w:rPr>
          <w:rFonts w:ascii="Arial" w:eastAsia="Arial Unicode MS" w:hAnsi="Arial" w:cs="Arial"/>
          <w:szCs w:val="22"/>
          <w:bdr w:val="nil"/>
          <w:lang w:eastAsia="en-US"/>
        </w:rPr>
        <w:t xml:space="preserve"> </w:t>
      </w:r>
      <w:r w:rsidRPr="00FE1039">
        <w:rPr>
          <w:rFonts w:ascii="Arial" w:eastAsia="Arial Unicode MS" w:hAnsi="Arial" w:cs="Arial"/>
          <w:szCs w:val="22"/>
          <w:bdr w:val="nil"/>
          <w:lang w:eastAsia="en-US"/>
        </w:rPr>
        <w:t>l</w:t>
      </w:r>
      <w:r w:rsidR="00AE112F" w:rsidRPr="00FE1039">
        <w:rPr>
          <w:rFonts w:ascii="Arial" w:eastAsia="Arial Unicode MS" w:hAnsi="Arial" w:cs="Arial"/>
          <w:szCs w:val="22"/>
          <w:bdr w:val="nil"/>
          <w:lang w:eastAsia="en-US"/>
        </w:rPr>
        <w:t>ocal authorities in the UK have a robust track record of effective risk management with regard to investment and in respect of their pension funds considerable experience across a wide range of asset classes.</w:t>
      </w:r>
    </w:p>
    <w:p w14:paraId="38B7ECA8" w14:textId="77777777" w:rsidR="00A34BD9" w:rsidRPr="00FE1039" w:rsidRDefault="00A34BD9" w:rsidP="00A34BD9">
      <w:pPr>
        <w:pStyle w:val="MainText"/>
        <w:spacing w:line="240" w:lineRule="auto"/>
        <w:jc w:val="both"/>
        <w:rPr>
          <w:rFonts w:ascii="Arial" w:eastAsia="Arial Unicode MS" w:hAnsi="Arial" w:cs="Arial"/>
          <w:szCs w:val="22"/>
          <w:bdr w:val="nil"/>
          <w:lang w:eastAsia="en-US"/>
        </w:rPr>
      </w:pPr>
    </w:p>
    <w:p w14:paraId="2C006D41" w14:textId="0CA72E78" w:rsidR="00C34433" w:rsidRPr="009E26D9" w:rsidRDefault="009E26D9" w:rsidP="00432292">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 w:val="24"/>
          <w:szCs w:val="24"/>
          <w:bdr w:val="nil"/>
          <w:lang w:eastAsia="en-US"/>
        </w:rPr>
      </w:pPr>
      <w:r w:rsidRPr="009E26D9">
        <w:rPr>
          <w:rFonts w:ascii="Arial" w:eastAsia="Arial Unicode MS" w:hAnsi="Arial" w:cs="Arial"/>
          <w:szCs w:val="22"/>
          <w:bdr w:val="nil"/>
          <w:lang w:eastAsia="en-US"/>
        </w:rPr>
        <w:t xml:space="preserve">The proposed response from the LGA is </w:t>
      </w:r>
      <w:r w:rsidR="009123A5">
        <w:rPr>
          <w:rFonts w:ascii="Arial" w:eastAsia="Arial Unicode MS" w:hAnsi="Arial" w:cs="Arial"/>
          <w:szCs w:val="22"/>
          <w:bdr w:val="nil"/>
          <w:lang w:eastAsia="en-US"/>
        </w:rPr>
        <w:t xml:space="preserve">attached at </w:t>
      </w:r>
      <w:r w:rsidR="009123A5" w:rsidRPr="009123A5">
        <w:rPr>
          <w:rFonts w:ascii="Arial" w:eastAsia="Arial Unicode MS" w:hAnsi="Arial" w:cs="Arial"/>
          <w:b/>
          <w:szCs w:val="22"/>
          <w:u w:val="single"/>
          <w:bdr w:val="nil"/>
          <w:lang w:eastAsia="en-US"/>
        </w:rPr>
        <w:t>Appendix A</w:t>
      </w:r>
      <w:r w:rsidRPr="009E26D9">
        <w:rPr>
          <w:rFonts w:ascii="Arial" w:eastAsia="Arial Unicode MS" w:hAnsi="Arial" w:cs="Arial"/>
          <w:szCs w:val="22"/>
          <w:bdr w:val="nil"/>
          <w:lang w:eastAsia="en-US"/>
        </w:rPr>
        <w:t xml:space="preserve"> for the Board’s approval. It will also be submitted to the Local Government Pension Committee. This is a robust response highlighting many </w:t>
      </w:r>
      <w:r w:rsidR="00432292">
        <w:rPr>
          <w:rFonts w:ascii="Arial" w:eastAsia="Arial Unicode MS" w:hAnsi="Arial" w:cs="Arial"/>
          <w:szCs w:val="22"/>
          <w:bdr w:val="nil"/>
          <w:lang w:eastAsia="en-US"/>
        </w:rPr>
        <w:t xml:space="preserve">serious </w:t>
      </w:r>
      <w:r w:rsidRPr="009E26D9">
        <w:rPr>
          <w:rFonts w:ascii="Arial" w:eastAsia="Arial Unicode MS" w:hAnsi="Arial" w:cs="Arial"/>
          <w:szCs w:val="22"/>
          <w:bdr w:val="nil"/>
          <w:lang w:eastAsia="en-US"/>
        </w:rPr>
        <w:t>difficulties with the appr</w:t>
      </w:r>
      <w:r w:rsidR="00432292">
        <w:rPr>
          <w:rFonts w:ascii="Arial" w:eastAsia="Arial Unicode MS" w:hAnsi="Arial" w:cs="Arial"/>
          <w:szCs w:val="22"/>
          <w:bdr w:val="nil"/>
          <w:lang w:eastAsia="en-US"/>
        </w:rPr>
        <w:t>o</w:t>
      </w:r>
      <w:r w:rsidRPr="009E26D9">
        <w:rPr>
          <w:rFonts w:ascii="Arial" w:eastAsia="Arial Unicode MS" w:hAnsi="Arial" w:cs="Arial"/>
          <w:szCs w:val="22"/>
          <w:bdr w:val="nil"/>
          <w:lang w:eastAsia="en-US"/>
        </w:rPr>
        <w:t>ach proposed by the FCA.</w:t>
      </w:r>
    </w:p>
    <w:p w14:paraId="0A10932A" w14:textId="77777777" w:rsidR="009E26D9" w:rsidRDefault="009E26D9" w:rsidP="009E26D9">
      <w:pPr>
        <w:pStyle w:val="MainText"/>
        <w:pBdr>
          <w:top w:val="nil"/>
          <w:left w:val="nil"/>
          <w:bottom w:val="nil"/>
          <w:right w:val="nil"/>
          <w:between w:val="nil"/>
          <w:bar w:val="nil"/>
        </w:pBdr>
        <w:spacing w:line="240" w:lineRule="auto"/>
        <w:jc w:val="both"/>
        <w:rPr>
          <w:rFonts w:ascii="Arial" w:eastAsia="Arial Unicode MS" w:hAnsi="Arial" w:cs="Arial"/>
          <w:b/>
          <w:szCs w:val="22"/>
          <w:bdr w:val="nil"/>
          <w:lang w:eastAsia="en-US"/>
        </w:rPr>
      </w:pPr>
    </w:p>
    <w:p w14:paraId="2EB38B5A" w14:textId="7FF58C34" w:rsidR="009E26D9" w:rsidRPr="009E26D9" w:rsidRDefault="009E26D9" w:rsidP="009E26D9">
      <w:pPr>
        <w:pStyle w:val="MainText"/>
        <w:pBdr>
          <w:top w:val="nil"/>
          <w:left w:val="nil"/>
          <w:bottom w:val="nil"/>
          <w:right w:val="nil"/>
          <w:between w:val="nil"/>
          <w:bar w:val="nil"/>
        </w:pBdr>
        <w:spacing w:line="240" w:lineRule="auto"/>
        <w:jc w:val="both"/>
        <w:rPr>
          <w:rFonts w:ascii="Arial" w:eastAsia="Arial Unicode MS" w:hAnsi="Arial" w:cs="Arial"/>
          <w:b/>
          <w:szCs w:val="22"/>
          <w:bdr w:val="nil"/>
          <w:lang w:eastAsia="en-US"/>
        </w:rPr>
      </w:pPr>
      <w:r w:rsidRPr="009E26D9">
        <w:rPr>
          <w:rFonts w:ascii="Arial" w:eastAsia="Arial Unicode MS" w:hAnsi="Arial" w:cs="Arial"/>
          <w:b/>
          <w:szCs w:val="22"/>
          <w:bdr w:val="nil"/>
          <w:lang w:eastAsia="en-US"/>
        </w:rPr>
        <w:t>Key proposals in the consultation affecting local authorities</w:t>
      </w:r>
    </w:p>
    <w:p w14:paraId="4A24B968" w14:textId="77777777" w:rsidR="009E26D9" w:rsidRPr="009E26D9" w:rsidRDefault="009E26D9" w:rsidP="003067C0">
      <w:pPr>
        <w:pStyle w:val="MainText"/>
        <w:pBdr>
          <w:top w:val="nil"/>
          <w:left w:val="nil"/>
          <w:bottom w:val="nil"/>
          <w:right w:val="nil"/>
          <w:between w:val="nil"/>
          <w:bar w:val="nil"/>
        </w:pBdr>
        <w:spacing w:line="240" w:lineRule="auto"/>
        <w:jc w:val="both"/>
        <w:rPr>
          <w:rFonts w:ascii="Arial" w:eastAsia="Arial Unicode MS" w:hAnsi="Arial" w:cs="Arial"/>
          <w:sz w:val="24"/>
          <w:szCs w:val="24"/>
          <w:bdr w:val="nil"/>
          <w:lang w:eastAsia="en-US"/>
        </w:rPr>
      </w:pPr>
    </w:p>
    <w:p w14:paraId="5E4C6267" w14:textId="1707AD05" w:rsidR="009E26D9" w:rsidRPr="007A389E" w:rsidRDefault="0000143F" w:rsidP="003067C0">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Pr>
          <w:rFonts w:ascii="Arial" w:eastAsia="Arial Unicode MS" w:hAnsi="Arial" w:cs="Arial"/>
          <w:szCs w:val="22"/>
          <w:bdr w:val="nil"/>
          <w:lang w:eastAsia="en-US"/>
        </w:rPr>
        <w:t>Not all elements of t</w:t>
      </w:r>
      <w:r w:rsidR="00432292" w:rsidRPr="007A389E">
        <w:rPr>
          <w:rFonts w:ascii="Arial" w:eastAsia="Arial Unicode MS" w:hAnsi="Arial" w:cs="Arial"/>
          <w:szCs w:val="22"/>
          <w:bdr w:val="nil"/>
          <w:lang w:eastAsia="en-US"/>
        </w:rPr>
        <w:t>he</w:t>
      </w:r>
      <w:r w:rsidR="00FE1039">
        <w:rPr>
          <w:rFonts w:ascii="Arial" w:eastAsia="Arial Unicode MS" w:hAnsi="Arial" w:cs="Arial"/>
          <w:szCs w:val="22"/>
          <w:bdr w:val="nil"/>
          <w:lang w:eastAsia="en-US"/>
        </w:rPr>
        <w:t xml:space="preserve"> consultation</w:t>
      </w:r>
      <w:r w:rsidR="00CB0031">
        <w:rPr>
          <w:rFonts w:ascii="Arial" w:eastAsia="Arial Unicode MS" w:hAnsi="Arial" w:cs="Arial"/>
          <w:szCs w:val="22"/>
          <w:bdr w:val="nil"/>
          <w:lang w:eastAsia="en-US"/>
        </w:rPr>
        <w:t>,</w:t>
      </w:r>
      <w:r w:rsidR="00432292" w:rsidRPr="007A389E">
        <w:rPr>
          <w:rFonts w:ascii="Arial" w:eastAsia="Arial Unicode MS" w:hAnsi="Arial" w:cs="Arial"/>
          <w:szCs w:val="22"/>
          <w:bdr w:val="nil"/>
          <w:lang w:eastAsia="en-US"/>
        </w:rPr>
        <w:t xml:space="preserve"> </w:t>
      </w:r>
      <w:r>
        <w:rPr>
          <w:rFonts w:ascii="Arial" w:eastAsia="Arial Unicode MS" w:hAnsi="Arial" w:cs="Arial"/>
          <w:szCs w:val="22"/>
          <w:bdr w:val="nil"/>
          <w:lang w:eastAsia="en-US"/>
        </w:rPr>
        <w:t>which</w:t>
      </w:r>
      <w:r w:rsidR="00432292" w:rsidRPr="007A389E">
        <w:rPr>
          <w:rFonts w:ascii="Arial" w:eastAsia="Arial Unicode MS" w:hAnsi="Arial" w:cs="Arial"/>
          <w:szCs w:val="22"/>
          <w:bdr w:val="nil"/>
          <w:lang w:eastAsia="en-US"/>
        </w:rPr>
        <w:t xml:space="preserve"> closes on 4 Januar</w:t>
      </w:r>
      <w:r w:rsidR="009E26D9" w:rsidRPr="007A389E">
        <w:rPr>
          <w:rFonts w:ascii="Arial" w:eastAsia="Arial Unicode MS" w:hAnsi="Arial" w:cs="Arial"/>
          <w:szCs w:val="22"/>
          <w:bdr w:val="nil"/>
          <w:lang w:eastAsia="en-US"/>
        </w:rPr>
        <w:t>y 2017</w:t>
      </w:r>
      <w:r w:rsidR="00CB0031">
        <w:rPr>
          <w:rFonts w:ascii="Arial" w:eastAsia="Arial Unicode MS" w:hAnsi="Arial" w:cs="Arial"/>
          <w:szCs w:val="22"/>
          <w:bdr w:val="nil"/>
          <w:lang w:eastAsia="en-US"/>
        </w:rPr>
        <w:t>,</w:t>
      </w:r>
      <w:r>
        <w:rPr>
          <w:rFonts w:ascii="Arial" w:eastAsia="Arial Unicode MS" w:hAnsi="Arial" w:cs="Arial"/>
          <w:szCs w:val="22"/>
          <w:bdr w:val="nil"/>
          <w:lang w:eastAsia="en-US"/>
        </w:rPr>
        <w:t xml:space="preserve"> are relevant to local government</w:t>
      </w:r>
      <w:r w:rsidR="00CB0031">
        <w:rPr>
          <w:rFonts w:ascii="Arial" w:eastAsia="Arial Unicode MS" w:hAnsi="Arial" w:cs="Arial"/>
          <w:szCs w:val="22"/>
          <w:bdr w:val="nil"/>
          <w:lang w:eastAsia="en-US"/>
        </w:rPr>
        <w:t xml:space="preserve"> (t</w:t>
      </w:r>
      <w:r w:rsidR="00EA496C" w:rsidRPr="00EA496C">
        <w:rPr>
          <w:rStyle w:val="Hyperlink"/>
          <w:rFonts w:ascii="Arial" w:eastAsia="Arial Unicode MS" w:hAnsi="Arial" w:cs="Arial"/>
          <w:color w:val="auto"/>
          <w:szCs w:val="22"/>
          <w:u w:val="none"/>
          <w:bdr w:val="nil"/>
          <w:lang w:eastAsia="en-US"/>
        </w:rPr>
        <w:t xml:space="preserve">he parts specifically directed at local authorities are </w:t>
      </w:r>
      <w:r w:rsidRPr="007A389E">
        <w:rPr>
          <w:rFonts w:ascii="Arial" w:eastAsia="Arial Unicode MS" w:hAnsi="Arial" w:cs="Arial"/>
          <w:szCs w:val="22"/>
          <w:bdr w:val="nil"/>
          <w:lang w:eastAsia="en-US"/>
        </w:rPr>
        <w:t>chapter 4, pages 36 to 41, which covers client categorisation of local authorities. Page 150 - 162 in the appendix goes into further details of this.</w:t>
      </w:r>
      <w:r w:rsidR="001B6FE6">
        <w:rPr>
          <w:rFonts w:ascii="Arial" w:eastAsia="Arial Unicode MS" w:hAnsi="Arial" w:cs="Arial"/>
          <w:szCs w:val="22"/>
          <w:bdr w:val="nil"/>
          <w:lang w:eastAsia="en-US"/>
        </w:rPr>
        <w:t xml:space="preserve"> </w:t>
      </w:r>
      <w:r w:rsidRPr="007A389E">
        <w:rPr>
          <w:rFonts w:ascii="Arial" w:eastAsia="Arial Unicode MS" w:hAnsi="Arial" w:cs="Arial"/>
          <w:szCs w:val="22"/>
          <w:bdr w:val="nil"/>
          <w:lang w:eastAsia="en-US"/>
        </w:rPr>
        <w:t xml:space="preserve"> Estimated costs to councils are in para 102 – 104, on pages 154/155</w:t>
      </w:r>
      <w:r>
        <w:rPr>
          <w:rFonts w:ascii="Arial" w:eastAsia="Arial Unicode MS" w:hAnsi="Arial" w:cs="Arial"/>
          <w:szCs w:val="22"/>
          <w:bdr w:val="nil"/>
          <w:lang w:eastAsia="en-US"/>
        </w:rPr>
        <w:t>)</w:t>
      </w:r>
      <w:r w:rsidR="00EA496C">
        <w:rPr>
          <w:rFonts w:ascii="Arial" w:eastAsia="Arial Unicode MS" w:hAnsi="Arial" w:cs="Arial"/>
          <w:szCs w:val="22"/>
          <w:bdr w:val="nil"/>
          <w:lang w:eastAsia="en-US"/>
        </w:rPr>
        <w:t>.</w:t>
      </w:r>
    </w:p>
    <w:p w14:paraId="3E35628C" w14:textId="5679527F" w:rsidR="00D73535" w:rsidRDefault="00D73535" w:rsidP="003067C0">
      <w:pPr>
        <w:pStyle w:val="ListParagraph"/>
        <w:rPr>
          <w:rFonts w:ascii="Arial" w:eastAsia="Arial Unicode MS" w:hAnsi="Arial" w:cs="Arial"/>
          <w:sz w:val="24"/>
          <w:szCs w:val="24"/>
          <w:bdr w:val="nil"/>
          <w:lang w:eastAsia="en-US"/>
        </w:rPr>
      </w:pPr>
    </w:p>
    <w:p w14:paraId="31759F7A" w14:textId="77777777" w:rsidR="003067C0" w:rsidRDefault="009E26D9" w:rsidP="003067C0">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7A389E">
        <w:rPr>
          <w:rFonts w:ascii="Arial" w:eastAsia="Arial Unicode MS" w:hAnsi="Arial" w:cs="Arial"/>
          <w:szCs w:val="22"/>
          <w:bdr w:val="nil"/>
          <w:lang w:eastAsia="en-US"/>
        </w:rPr>
        <w:t>There are two specific questions aimed at local authorities. These are</w:t>
      </w:r>
      <w:r w:rsidR="0000143F">
        <w:rPr>
          <w:rFonts w:ascii="Arial" w:eastAsia="Arial Unicode MS" w:hAnsi="Arial" w:cs="Arial"/>
          <w:szCs w:val="22"/>
          <w:bdr w:val="nil"/>
          <w:lang w:eastAsia="en-US"/>
        </w:rPr>
        <w:t>:</w:t>
      </w:r>
    </w:p>
    <w:p w14:paraId="5C7F5D5D" w14:textId="77777777" w:rsidR="003067C0" w:rsidRDefault="003067C0" w:rsidP="003067C0">
      <w:pPr>
        <w:pStyle w:val="ListParagraph"/>
        <w:rPr>
          <w:rFonts w:ascii="Arial" w:eastAsia="Arial Unicode MS" w:hAnsi="Arial" w:cs="Arial"/>
          <w:szCs w:val="22"/>
          <w:bdr w:val="nil"/>
          <w:lang w:eastAsia="en-US"/>
        </w:rPr>
      </w:pPr>
    </w:p>
    <w:p w14:paraId="73B8D503" w14:textId="0873C5FE" w:rsidR="00D73535" w:rsidRPr="003067C0" w:rsidRDefault="00D73535" w:rsidP="003067C0">
      <w:pPr>
        <w:pStyle w:val="MainText"/>
        <w:numPr>
          <w:ilvl w:val="1"/>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3067C0">
        <w:rPr>
          <w:rFonts w:ascii="Arial" w:eastAsia="Arial Unicode MS" w:hAnsi="Arial" w:cs="Arial"/>
          <w:szCs w:val="22"/>
          <w:bdr w:val="nil"/>
          <w:lang w:eastAsia="en-US"/>
        </w:rPr>
        <w:t xml:space="preserve">Question 16 - </w:t>
      </w:r>
      <w:r w:rsidR="00432292" w:rsidRPr="003067C0">
        <w:rPr>
          <w:rFonts w:ascii="Arial" w:eastAsia="Arial Unicode MS" w:hAnsi="Arial" w:cs="Arial"/>
          <w:szCs w:val="22"/>
          <w:bdr w:val="nil"/>
          <w:lang w:eastAsia="en-US"/>
        </w:rPr>
        <w:t xml:space="preserve">Do you agree with our approach to revise the quantitative thresholds as part of the opt-up criteria for local authorities by introducing a mandatory portfolio size requirement of </w:t>
      </w:r>
      <w:r w:rsidR="00432292" w:rsidRPr="003067C0">
        <w:rPr>
          <w:rFonts w:ascii="Arial" w:eastAsia="Arial Unicode MS" w:hAnsi="Arial" w:cs="Arial" w:hint="eastAsia"/>
          <w:szCs w:val="22"/>
          <w:bdr w:val="nil"/>
          <w:lang w:eastAsia="en-US"/>
        </w:rPr>
        <w:t>£</w:t>
      </w:r>
      <w:r w:rsidR="00432292" w:rsidRPr="003067C0">
        <w:rPr>
          <w:rFonts w:ascii="Arial" w:eastAsia="Arial Unicode MS" w:hAnsi="Arial" w:cs="Arial"/>
          <w:szCs w:val="22"/>
          <w:bdr w:val="nil"/>
          <w:lang w:eastAsia="en-US"/>
        </w:rPr>
        <w:t>15m</w:t>
      </w:r>
      <w:r w:rsidR="007A389E" w:rsidRPr="003067C0">
        <w:rPr>
          <w:rFonts w:ascii="Arial" w:eastAsia="Arial Unicode MS" w:hAnsi="Arial" w:cs="Arial"/>
          <w:szCs w:val="22"/>
          <w:bdr w:val="nil"/>
          <w:lang w:eastAsia="en-US"/>
        </w:rPr>
        <w:t>illion</w:t>
      </w:r>
      <w:r w:rsidR="00432292" w:rsidRPr="003067C0">
        <w:rPr>
          <w:rFonts w:ascii="Arial" w:eastAsia="Arial Unicode MS" w:hAnsi="Arial" w:cs="Arial"/>
          <w:szCs w:val="22"/>
          <w:bdr w:val="nil"/>
          <w:lang w:eastAsia="en-US"/>
        </w:rPr>
        <w:t>? If not, what do you believe is the appropriate minimum portfolio size requirement, and why?</w:t>
      </w:r>
    </w:p>
    <w:p w14:paraId="259735A5" w14:textId="77777777" w:rsidR="00D73535" w:rsidRPr="007A389E" w:rsidRDefault="00D73535" w:rsidP="003067C0">
      <w:pPr>
        <w:pStyle w:val="ListParagraph"/>
        <w:rPr>
          <w:rFonts w:ascii="Arial" w:eastAsia="Arial Unicode MS" w:hAnsi="Arial" w:cs="Arial"/>
          <w:szCs w:val="22"/>
          <w:bdr w:val="nil"/>
          <w:lang w:eastAsia="en-US"/>
        </w:rPr>
      </w:pPr>
    </w:p>
    <w:p w14:paraId="57204FED" w14:textId="6C5C1738" w:rsidR="009E26D9" w:rsidRPr="007A389E" w:rsidRDefault="00D73535" w:rsidP="003067C0">
      <w:pPr>
        <w:pStyle w:val="MainText"/>
        <w:numPr>
          <w:ilvl w:val="1"/>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7A389E">
        <w:rPr>
          <w:rFonts w:ascii="Arial" w:eastAsia="Arial Unicode MS" w:hAnsi="Arial" w:cs="Arial"/>
          <w:szCs w:val="22"/>
          <w:bdr w:val="nil"/>
          <w:lang w:eastAsia="en-US"/>
        </w:rPr>
        <w:t xml:space="preserve">Question 17 - </w:t>
      </w:r>
      <w:r w:rsidR="00432292" w:rsidRPr="007A389E">
        <w:rPr>
          <w:rFonts w:ascii="Arial" w:eastAsia="Arial Unicode MS" w:hAnsi="Arial" w:cs="Arial"/>
          <w:szCs w:val="22"/>
          <w:bdr w:val="nil"/>
          <w:lang w:eastAsia="en-US"/>
        </w:rPr>
        <w:t>Do you agree with our approach to extend these proposals to non-MiFID scope business? If not, please give reasons why.</w:t>
      </w:r>
    </w:p>
    <w:p w14:paraId="4CEC365B" w14:textId="77777777" w:rsidR="00D73535" w:rsidRPr="007A389E" w:rsidRDefault="00D73535" w:rsidP="003067C0">
      <w:pPr>
        <w:pStyle w:val="MainText"/>
        <w:pBdr>
          <w:top w:val="nil"/>
          <w:left w:val="nil"/>
          <w:bottom w:val="nil"/>
          <w:right w:val="nil"/>
          <w:between w:val="nil"/>
          <w:bar w:val="nil"/>
        </w:pBdr>
        <w:spacing w:line="240" w:lineRule="auto"/>
        <w:ind w:left="1068"/>
        <w:jc w:val="both"/>
        <w:rPr>
          <w:rFonts w:ascii="Arial" w:eastAsia="Arial Unicode MS" w:hAnsi="Arial" w:cs="Arial"/>
          <w:szCs w:val="22"/>
          <w:bdr w:val="nil"/>
          <w:lang w:eastAsia="en-US"/>
        </w:rPr>
      </w:pPr>
    </w:p>
    <w:p w14:paraId="66D1C851" w14:textId="26BB1DAC" w:rsidR="009E26D9" w:rsidRPr="007A389E" w:rsidRDefault="009E26D9" w:rsidP="003067C0">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7A389E">
        <w:rPr>
          <w:rFonts w:ascii="Arial" w:eastAsia="Arial Unicode MS" w:hAnsi="Arial" w:cs="Arial"/>
          <w:szCs w:val="22"/>
          <w:bdr w:val="nil"/>
          <w:lang w:eastAsia="en-US"/>
        </w:rPr>
        <w:t xml:space="preserve">As outlined above, the FCA are consulting on the implementation of the directive, not on the directive itself. The point at issue is </w:t>
      </w:r>
      <w:r w:rsidRPr="007A389E">
        <w:rPr>
          <w:rFonts w:ascii="Arial" w:eastAsia="Arial Unicode MS" w:hAnsi="Arial" w:cs="Arial"/>
          <w:i/>
          <w:szCs w:val="22"/>
          <w:bdr w:val="nil"/>
          <w:lang w:eastAsia="en-US"/>
        </w:rPr>
        <w:t>how</w:t>
      </w:r>
      <w:r w:rsidRPr="007A389E">
        <w:rPr>
          <w:rFonts w:ascii="Arial" w:eastAsia="Arial Unicode MS" w:hAnsi="Arial" w:cs="Arial"/>
          <w:szCs w:val="22"/>
          <w:bdr w:val="nil"/>
          <w:lang w:eastAsia="en-US"/>
        </w:rPr>
        <w:t xml:space="preserve"> the directive is implemented, not </w:t>
      </w:r>
      <w:r w:rsidRPr="007A389E">
        <w:rPr>
          <w:rFonts w:ascii="Arial" w:eastAsia="Arial Unicode MS" w:hAnsi="Arial" w:cs="Arial"/>
          <w:i/>
          <w:szCs w:val="22"/>
          <w:bdr w:val="nil"/>
          <w:lang w:eastAsia="en-US"/>
        </w:rPr>
        <w:t>whether</w:t>
      </w:r>
      <w:r w:rsidRPr="007A389E">
        <w:rPr>
          <w:rFonts w:ascii="Arial" w:eastAsia="Arial Unicode MS" w:hAnsi="Arial" w:cs="Arial"/>
          <w:szCs w:val="22"/>
          <w:bdr w:val="nil"/>
          <w:lang w:eastAsia="en-US"/>
        </w:rPr>
        <w:t xml:space="preserve"> it is implemented. However, the proposals by the FCA that affect </w:t>
      </w:r>
      <w:r w:rsidR="0000143F">
        <w:rPr>
          <w:rFonts w:ascii="Arial" w:eastAsia="Arial Unicode MS" w:hAnsi="Arial" w:cs="Arial"/>
          <w:szCs w:val="22"/>
          <w:bdr w:val="nil"/>
          <w:lang w:eastAsia="en-US"/>
        </w:rPr>
        <w:t>l</w:t>
      </w:r>
      <w:r w:rsidRPr="007A389E">
        <w:rPr>
          <w:rFonts w:ascii="Arial" w:eastAsia="Arial Unicode MS" w:hAnsi="Arial" w:cs="Arial"/>
          <w:szCs w:val="22"/>
          <w:bdr w:val="nil"/>
          <w:lang w:eastAsia="en-US"/>
        </w:rPr>
        <w:t xml:space="preserve">ocal </w:t>
      </w:r>
      <w:r w:rsidR="0000143F">
        <w:rPr>
          <w:rFonts w:ascii="Arial" w:eastAsia="Arial Unicode MS" w:hAnsi="Arial" w:cs="Arial"/>
          <w:szCs w:val="22"/>
          <w:bdr w:val="nil"/>
          <w:lang w:eastAsia="en-US"/>
        </w:rPr>
        <w:t>a</w:t>
      </w:r>
      <w:r w:rsidRPr="007A389E">
        <w:rPr>
          <w:rFonts w:ascii="Arial" w:eastAsia="Arial Unicode MS" w:hAnsi="Arial" w:cs="Arial"/>
          <w:szCs w:val="22"/>
          <w:bdr w:val="nil"/>
          <w:lang w:eastAsia="en-US"/>
        </w:rPr>
        <w:t>uthorities go</w:t>
      </w:r>
      <w:r w:rsidR="001F797B" w:rsidRPr="007A389E">
        <w:rPr>
          <w:rFonts w:ascii="Arial" w:eastAsia="Arial Unicode MS" w:hAnsi="Arial" w:cs="Arial"/>
          <w:szCs w:val="22"/>
          <w:bdr w:val="nil"/>
          <w:lang w:eastAsia="en-US"/>
        </w:rPr>
        <w:t xml:space="preserve"> beyond what is in the original EU legislation.</w:t>
      </w:r>
    </w:p>
    <w:p w14:paraId="18FEB707" w14:textId="3DC0ABCB" w:rsidR="009E26D9" w:rsidRDefault="00D73535" w:rsidP="003067C0">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7A389E">
        <w:rPr>
          <w:rFonts w:ascii="Arial" w:eastAsia="Arial Unicode MS" w:hAnsi="Arial" w:cs="Arial"/>
          <w:szCs w:val="22"/>
          <w:bdr w:val="nil"/>
          <w:lang w:eastAsia="en-US"/>
        </w:rPr>
        <w:lastRenderedPageBreak/>
        <w:t xml:space="preserve">The effect of these proposals </w:t>
      </w:r>
      <w:r w:rsidR="0000143F">
        <w:rPr>
          <w:rFonts w:ascii="Arial" w:eastAsia="Arial Unicode MS" w:hAnsi="Arial" w:cs="Arial"/>
          <w:szCs w:val="22"/>
          <w:bdr w:val="nil"/>
          <w:lang w:eastAsia="en-US"/>
        </w:rPr>
        <w:t>is</w:t>
      </w:r>
      <w:r w:rsidR="0000143F" w:rsidRPr="007A389E">
        <w:rPr>
          <w:rFonts w:ascii="Arial" w:eastAsia="Arial Unicode MS" w:hAnsi="Arial" w:cs="Arial"/>
          <w:szCs w:val="22"/>
          <w:bdr w:val="nil"/>
          <w:lang w:eastAsia="en-US"/>
        </w:rPr>
        <w:t xml:space="preserve"> </w:t>
      </w:r>
      <w:r w:rsidRPr="007A389E">
        <w:rPr>
          <w:rFonts w:ascii="Arial" w:eastAsia="Arial Unicode MS" w:hAnsi="Arial" w:cs="Arial"/>
          <w:szCs w:val="22"/>
          <w:bdr w:val="nil"/>
          <w:lang w:eastAsia="en-US"/>
        </w:rPr>
        <w:t xml:space="preserve">to categorise all local authorities, including pension funds, </w:t>
      </w:r>
      <w:r w:rsidR="0000143F">
        <w:rPr>
          <w:rFonts w:ascii="Arial" w:eastAsia="Arial Unicode MS" w:hAnsi="Arial" w:cs="Arial"/>
          <w:szCs w:val="22"/>
          <w:bdr w:val="nil"/>
          <w:lang w:eastAsia="en-US"/>
        </w:rPr>
        <w:t>as</w:t>
      </w:r>
      <w:r w:rsidR="0000143F" w:rsidRPr="007A389E">
        <w:rPr>
          <w:rFonts w:ascii="Arial" w:eastAsia="Arial Unicode MS" w:hAnsi="Arial" w:cs="Arial"/>
          <w:szCs w:val="22"/>
          <w:bdr w:val="nil"/>
          <w:lang w:eastAsia="en-US"/>
        </w:rPr>
        <w:t xml:space="preserve"> </w:t>
      </w:r>
      <w:r w:rsidRPr="007A389E">
        <w:rPr>
          <w:rFonts w:ascii="Arial" w:eastAsia="Arial Unicode MS" w:hAnsi="Arial" w:cs="Arial"/>
          <w:szCs w:val="22"/>
          <w:bdr w:val="nil"/>
          <w:lang w:eastAsia="en-US"/>
        </w:rPr>
        <w:t xml:space="preserve">“retail” clients. Currently </w:t>
      </w:r>
      <w:r w:rsidR="00432292" w:rsidRPr="007A389E">
        <w:rPr>
          <w:rFonts w:ascii="Arial" w:eastAsia="Arial Unicode MS" w:hAnsi="Arial" w:cs="Arial"/>
          <w:szCs w:val="22"/>
          <w:bdr w:val="nil"/>
          <w:lang w:eastAsia="en-US"/>
        </w:rPr>
        <w:t>all local authorities are “per se professional” clients</w:t>
      </w:r>
      <w:r w:rsidR="00056076">
        <w:rPr>
          <w:rFonts w:ascii="Arial" w:eastAsia="Arial Unicode MS" w:hAnsi="Arial" w:cs="Arial"/>
          <w:szCs w:val="22"/>
          <w:bdr w:val="nil"/>
          <w:lang w:eastAsia="en-US"/>
        </w:rPr>
        <w:t xml:space="preserve">, </w:t>
      </w:r>
      <w:r w:rsidR="0000143F">
        <w:rPr>
          <w:rFonts w:ascii="Arial" w:eastAsia="Arial Unicode MS" w:hAnsi="Arial" w:cs="Arial"/>
          <w:szCs w:val="22"/>
          <w:bdr w:val="nil"/>
          <w:lang w:eastAsia="en-US"/>
        </w:rPr>
        <w:t>which</w:t>
      </w:r>
      <w:r w:rsidR="00432292" w:rsidRPr="007A389E">
        <w:rPr>
          <w:rFonts w:ascii="Arial" w:eastAsia="Arial Unicode MS" w:hAnsi="Arial" w:cs="Arial"/>
          <w:szCs w:val="22"/>
          <w:bdr w:val="nil"/>
          <w:lang w:eastAsia="en-US"/>
        </w:rPr>
        <w:t xml:space="preserve"> gives them access a range of investment products. Retail clients are severely limited in their investment options and categorisation as “retail” will have a major impact on local authorities</w:t>
      </w:r>
      <w:r w:rsidR="00FF3343" w:rsidRPr="007A389E">
        <w:rPr>
          <w:rFonts w:ascii="Arial" w:eastAsia="Arial Unicode MS" w:hAnsi="Arial" w:cs="Arial"/>
          <w:szCs w:val="22"/>
          <w:bdr w:val="nil"/>
          <w:lang w:eastAsia="en-US"/>
        </w:rPr>
        <w:t>’</w:t>
      </w:r>
      <w:r w:rsidR="00432292" w:rsidRPr="007A389E">
        <w:rPr>
          <w:rFonts w:ascii="Arial" w:eastAsia="Arial Unicode MS" w:hAnsi="Arial" w:cs="Arial"/>
          <w:szCs w:val="22"/>
          <w:bdr w:val="nil"/>
          <w:lang w:eastAsia="en-US"/>
        </w:rPr>
        <w:t xml:space="preserve"> ability to invest</w:t>
      </w:r>
      <w:r w:rsidR="0000143F">
        <w:rPr>
          <w:rFonts w:ascii="Arial" w:eastAsia="Arial Unicode MS" w:hAnsi="Arial" w:cs="Arial"/>
          <w:szCs w:val="22"/>
          <w:bdr w:val="nil"/>
          <w:lang w:eastAsia="en-US"/>
        </w:rPr>
        <w:t>. In</w:t>
      </w:r>
      <w:r w:rsidR="00056076">
        <w:rPr>
          <w:rFonts w:ascii="Arial" w:eastAsia="Arial Unicode MS" w:hAnsi="Arial" w:cs="Arial"/>
          <w:szCs w:val="22"/>
          <w:bdr w:val="nil"/>
          <w:lang w:eastAsia="en-US"/>
        </w:rPr>
        <w:t xml:space="preserve"> </w:t>
      </w:r>
      <w:r w:rsidR="00432292" w:rsidRPr="007A389E">
        <w:rPr>
          <w:rFonts w:ascii="Arial" w:eastAsia="Arial Unicode MS" w:hAnsi="Arial" w:cs="Arial"/>
          <w:szCs w:val="22"/>
          <w:bdr w:val="nil"/>
          <w:lang w:eastAsia="en-US"/>
        </w:rPr>
        <w:t>the case of pension funds it is hard to see how they could man</w:t>
      </w:r>
      <w:r w:rsidR="00F100AC" w:rsidRPr="007A389E">
        <w:rPr>
          <w:rFonts w:ascii="Arial" w:eastAsia="Arial Unicode MS" w:hAnsi="Arial" w:cs="Arial"/>
          <w:szCs w:val="22"/>
          <w:bdr w:val="nil"/>
          <w:lang w:eastAsia="en-US"/>
        </w:rPr>
        <w:t xml:space="preserve">age their </w:t>
      </w:r>
      <w:r w:rsidR="00FF3343" w:rsidRPr="007A389E">
        <w:rPr>
          <w:rFonts w:ascii="Arial" w:eastAsia="Arial Unicode MS" w:hAnsi="Arial" w:cs="Arial"/>
          <w:szCs w:val="22"/>
          <w:bdr w:val="nil"/>
          <w:lang w:eastAsia="en-US"/>
        </w:rPr>
        <w:t>investment</w:t>
      </w:r>
      <w:r w:rsidR="00F100AC" w:rsidRPr="007A389E">
        <w:rPr>
          <w:rFonts w:ascii="Arial" w:eastAsia="Arial Unicode MS" w:hAnsi="Arial" w:cs="Arial"/>
          <w:szCs w:val="22"/>
          <w:bdr w:val="nil"/>
          <w:lang w:eastAsia="en-US"/>
        </w:rPr>
        <w:t xml:space="preserve"> strategies properly</w:t>
      </w:r>
      <w:r w:rsidR="00F53BC9">
        <w:rPr>
          <w:rFonts w:ascii="Arial" w:eastAsia="Arial Unicode MS" w:hAnsi="Arial" w:cs="Arial"/>
          <w:szCs w:val="22"/>
          <w:bdr w:val="nil"/>
          <w:lang w:eastAsia="en-US"/>
        </w:rPr>
        <w:t xml:space="preserve"> </w:t>
      </w:r>
      <w:r w:rsidR="00F4573D">
        <w:rPr>
          <w:rFonts w:ascii="Arial" w:eastAsia="Arial Unicode MS" w:hAnsi="Arial" w:cs="Arial"/>
          <w:szCs w:val="22"/>
          <w:bdr w:val="nil"/>
          <w:lang w:eastAsia="en-US"/>
        </w:rPr>
        <w:t>or be</w:t>
      </w:r>
      <w:r w:rsidR="00F53BC9">
        <w:rPr>
          <w:rFonts w:ascii="Arial" w:eastAsia="Arial Unicode MS" w:hAnsi="Arial" w:cs="Arial"/>
          <w:szCs w:val="22"/>
          <w:bdr w:val="nil"/>
          <w:lang w:eastAsia="en-US"/>
        </w:rPr>
        <w:t xml:space="preserve"> able to meet the Government’s expectations on investment in local infrastructure</w:t>
      </w:r>
      <w:r w:rsidR="00F100AC" w:rsidRPr="007A389E">
        <w:rPr>
          <w:rFonts w:ascii="Arial" w:eastAsia="Arial Unicode MS" w:hAnsi="Arial" w:cs="Arial"/>
          <w:szCs w:val="22"/>
          <w:bdr w:val="nil"/>
          <w:lang w:eastAsia="en-US"/>
        </w:rPr>
        <w:t>.</w:t>
      </w:r>
    </w:p>
    <w:p w14:paraId="470D07AA" w14:textId="238B5B99" w:rsidR="003067C0" w:rsidRPr="007A389E" w:rsidRDefault="003067C0" w:rsidP="003067C0">
      <w:pPr>
        <w:pStyle w:val="MainText"/>
        <w:pBdr>
          <w:top w:val="nil"/>
          <w:left w:val="nil"/>
          <w:bottom w:val="nil"/>
          <w:right w:val="nil"/>
          <w:between w:val="nil"/>
          <w:bar w:val="nil"/>
        </w:pBdr>
        <w:spacing w:line="240" w:lineRule="auto"/>
        <w:ind w:left="360"/>
        <w:jc w:val="both"/>
        <w:rPr>
          <w:rFonts w:ascii="Arial" w:eastAsia="Arial Unicode MS" w:hAnsi="Arial" w:cs="Arial"/>
          <w:szCs w:val="22"/>
          <w:bdr w:val="nil"/>
          <w:lang w:eastAsia="en-US"/>
        </w:rPr>
      </w:pPr>
    </w:p>
    <w:p w14:paraId="4BE45975" w14:textId="77777777" w:rsidR="003067C0" w:rsidRDefault="00F100AC" w:rsidP="003067C0">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7A389E">
        <w:rPr>
          <w:rFonts w:ascii="Arial" w:eastAsia="Arial Unicode MS" w:hAnsi="Arial" w:cs="Arial"/>
          <w:szCs w:val="22"/>
          <w:bdr w:val="nil"/>
          <w:lang w:eastAsia="en-US"/>
        </w:rPr>
        <w:t xml:space="preserve">The implementation allows local authorities to opt up to professional status, and it is likely that the vast majority of local authorities, and certainly all pension funds, will want to do this. However, as outlined in the draft response, the tests proposed by the FCA to enable opt up are so difficult that they will prevent many, if not all, local authorities </w:t>
      </w:r>
      <w:r w:rsidR="00FF3343" w:rsidRPr="007A389E">
        <w:rPr>
          <w:rFonts w:ascii="Arial" w:eastAsia="Arial Unicode MS" w:hAnsi="Arial" w:cs="Arial"/>
          <w:szCs w:val="22"/>
          <w:bdr w:val="nil"/>
          <w:lang w:eastAsia="en-US"/>
        </w:rPr>
        <w:t>from</w:t>
      </w:r>
      <w:r w:rsidRPr="007A389E">
        <w:rPr>
          <w:rFonts w:ascii="Arial" w:eastAsia="Arial Unicode MS" w:hAnsi="Arial" w:cs="Arial"/>
          <w:szCs w:val="22"/>
          <w:bdr w:val="nil"/>
          <w:lang w:eastAsia="en-US"/>
        </w:rPr>
        <w:t xml:space="preserve"> opting up.</w:t>
      </w:r>
    </w:p>
    <w:p w14:paraId="7EC034B9" w14:textId="1248AD9B" w:rsidR="009E26D9" w:rsidRPr="007A389E" w:rsidRDefault="00F100AC" w:rsidP="003067C0">
      <w:pPr>
        <w:pStyle w:val="MainText"/>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7A389E">
        <w:rPr>
          <w:rFonts w:ascii="Arial" w:eastAsia="Arial Unicode MS" w:hAnsi="Arial" w:cs="Arial"/>
          <w:szCs w:val="22"/>
          <w:bdr w:val="nil"/>
          <w:lang w:eastAsia="en-US"/>
        </w:rPr>
        <w:t xml:space="preserve"> </w:t>
      </w:r>
    </w:p>
    <w:p w14:paraId="73E98465" w14:textId="7EAC0C9B" w:rsidR="00F100AC" w:rsidRDefault="00A4298A" w:rsidP="003067C0">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Pr>
          <w:rFonts w:ascii="Arial" w:eastAsia="Arial Unicode MS" w:hAnsi="Arial" w:cs="Arial"/>
          <w:szCs w:val="22"/>
          <w:bdr w:val="nil"/>
          <w:lang w:eastAsia="en-US"/>
        </w:rPr>
        <w:t xml:space="preserve">The </w:t>
      </w:r>
      <w:r w:rsidR="0000143F">
        <w:rPr>
          <w:rFonts w:ascii="Arial" w:eastAsia="Arial Unicode MS" w:hAnsi="Arial" w:cs="Arial"/>
          <w:szCs w:val="22"/>
          <w:bdr w:val="nil"/>
          <w:lang w:eastAsia="en-US"/>
        </w:rPr>
        <w:t>FCA is proposing</w:t>
      </w:r>
      <w:r w:rsidR="00F100AC" w:rsidRPr="007A389E">
        <w:rPr>
          <w:rFonts w:ascii="Arial" w:eastAsia="Arial Unicode MS" w:hAnsi="Arial" w:cs="Arial"/>
          <w:szCs w:val="22"/>
          <w:bdr w:val="nil"/>
          <w:lang w:eastAsia="en-US"/>
        </w:rPr>
        <w:t xml:space="preserve"> a minimum </w:t>
      </w:r>
      <w:r w:rsidR="00056076">
        <w:rPr>
          <w:rFonts w:ascii="Arial" w:eastAsia="Arial Unicode MS" w:hAnsi="Arial" w:cs="Arial"/>
          <w:szCs w:val="22"/>
          <w:bdr w:val="nil"/>
          <w:lang w:eastAsia="en-US"/>
        </w:rPr>
        <w:t xml:space="preserve">value of </w:t>
      </w:r>
      <w:r w:rsidR="00F100AC" w:rsidRPr="007A389E">
        <w:rPr>
          <w:rFonts w:ascii="Arial" w:eastAsia="Arial Unicode MS" w:hAnsi="Arial" w:cs="Arial"/>
          <w:szCs w:val="22"/>
          <w:bdr w:val="nil"/>
          <w:lang w:eastAsia="en-US"/>
        </w:rPr>
        <w:t xml:space="preserve">investment portfolio of £15 million as being a </w:t>
      </w:r>
      <w:r w:rsidR="00FF3343" w:rsidRPr="007A389E">
        <w:rPr>
          <w:rFonts w:ascii="Arial" w:eastAsia="Arial Unicode MS" w:hAnsi="Arial" w:cs="Arial"/>
          <w:szCs w:val="22"/>
          <w:bdr w:val="nil"/>
          <w:lang w:eastAsia="en-US"/>
        </w:rPr>
        <w:t>cut-off</w:t>
      </w:r>
      <w:r w:rsidR="00F100AC" w:rsidRPr="007A389E">
        <w:rPr>
          <w:rFonts w:ascii="Arial" w:eastAsia="Arial Unicode MS" w:hAnsi="Arial" w:cs="Arial"/>
          <w:szCs w:val="22"/>
          <w:bdr w:val="nil"/>
          <w:lang w:eastAsia="en-US"/>
        </w:rPr>
        <w:t xml:space="preserve"> point</w:t>
      </w:r>
      <w:r w:rsidR="00056076">
        <w:rPr>
          <w:rFonts w:ascii="Arial" w:eastAsia="Arial Unicode MS" w:hAnsi="Arial" w:cs="Arial"/>
          <w:szCs w:val="22"/>
          <w:bdr w:val="nil"/>
          <w:lang w:eastAsia="en-US"/>
        </w:rPr>
        <w:t xml:space="preserve">; any local authorities with an investment portfolio of less than £15 million will automatically not qualify for opt up to professional status and will have to remain as retail status. </w:t>
      </w:r>
      <w:r w:rsidR="00F100AC" w:rsidRPr="007A389E">
        <w:rPr>
          <w:rFonts w:ascii="Arial" w:eastAsia="Arial Unicode MS" w:hAnsi="Arial" w:cs="Arial"/>
          <w:szCs w:val="22"/>
          <w:bdr w:val="nil"/>
          <w:lang w:eastAsia="en-US"/>
        </w:rPr>
        <w:t xml:space="preserve"> This is likely to prevent a large number of local </w:t>
      </w:r>
      <w:r w:rsidR="00FF3343" w:rsidRPr="007A389E">
        <w:rPr>
          <w:rFonts w:ascii="Arial" w:eastAsia="Arial Unicode MS" w:hAnsi="Arial" w:cs="Arial"/>
          <w:szCs w:val="22"/>
          <w:bdr w:val="nil"/>
          <w:lang w:eastAsia="en-US"/>
        </w:rPr>
        <w:t>authorities</w:t>
      </w:r>
      <w:r w:rsidR="00F100AC" w:rsidRPr="007A389E">
        <w:rPr>
          <w:rFonts w:ascii="Arial" w:eastAsia="Arial Unicode MS" w:hAnsi="Arial" w:cs="Arial"/>
          <w:szCs w:val="22"/>
          <w:bdr w:val="nil"/>
          <w:lang w:eastAsia="en-US"/>
        </w:rPr>
        <w:t xml:space="preserve"> from being able to opt up – and due </w:t>
      </w:r>
      <w:r w:rsidR="0000143F">
        <w:rPr>
          <w:rFonts w:ascii="Arial" w:eastAsia="Arial Unicode MS" w:hAnsi="Arial" w:cs="Arial"/>
          <w:szCs w:val="22"/>
          <w:bdr w:val="nil"/>
          <w:lang w:eastAsia="en-US"/>
        </w:rPr>
        <w:t xml:space="preserve">to </w:t>
      </w:r>
      <w:r w:rsidR="00F100AC" w:rsidRPr="007A389E">
        <w:rPr>
          <w:rFonts w:ascii="Arial" w:eastAsia="Arial Unicode MS" w:hAnsi="Arial" w:cs="Arial"/>
          <w:szCs w:val="22"/>
          <w:bdr w:val="nil"/>
          <w:lang w:eastAsia="en-US"/>
        </w:rPr>
        <w:t xml:space="preserve">the </w:t>
      </w:r>
      <w:r w:rsidR="00FF3343" w:rsidRPr="007A389E">
        <w:rPr>
          <w:rFonts w:ascii="Arial" w:eastAsia="Arial Unicode MS" w:hAnsi="Arial" w:cs="Arial"/>
          <w:szCs w:val="22"/>
          <w:bdr w:val="nil"/>
          <w:lang w:eastAsia="en-US"/>
        </w:rPr>
        <w:t>variations</w:t>
      </w:r>
      <w:r w:rsidR="00F100AC" w:rsidRPr="007A389E">
        <w:rPr>
          <w:rFonts w:ascii="Arial" w:eastAsia="Arial Unicode MS" w:hAnsi="Arial" w:cs="Arial"/>
          <w:szCs w:val="22"/>
          <w:bdr w:val="nil"/>
          <w:lang w:eastAsia="en-US"/>
        </w:rPr>
        <w:t xml:space="preserve"> </w:t>
      </w:r>
      <w:r w:rsidR="00FF3343" w:rsidRPr="007A389E">
        <w:rPr>
          <w:rFonts w:ascii="Arial" w:eastAsia="Arial Unicode MS" w:hAnsi="Arial" w:cs="Arial"/>
          <w:szCs w:val="22"/>
          <w:bdr w:val="nil"/>
          <w:lang w:eastAsia="en-US"/>
        </w:rPr>
        <w:t>in cash</w:t>
      </w:r>
      <w:r w:rsidR="00F100AC" w:rsidRPr="007A389E">
        <w:rPr>
          <w:rFonts w:ascii="Arial" w:eastAsia="Arial Unicode MS" w:hAnsi="Arial" w:cs="Arial"/>
          <w:szCs w:val="22"/>
          <w:bdr w:val="nil"/>
          <w:lang w:eastAsia="en-US"/>
        </w:rPr>
        <w:t xml:space="preserve"> flow over a year, it is quite likely that this will include large authorities as well as small. </w:t>
      </w:r>
      <w:r w:rsidR="00AE112F" w:rsidRPr="007A389E">
        <w:rPr>
          <w:rFonts w:ascii="Arial" w:eastAsia="Arial Unicode MS" w:hAnsi="Arial" w:cs="Arial"/>
          <w:szCs w:val="22"/>
          <w:bdr w:val="nil"/>
          <w:lang w:eastAsia="en-US"/>
        </w:rPr>
        <w:t>The FCA’s o</w:t>
      </w:r>
      <w:r w:rsidR="007A389E">
        <w:rPr>
          <w:rFonts w:ascii="Arial" w:eastAsia="Arial Unicode MS" w:hAnsi="Arial" w:cs="Arial"/>
          <w:szCs w:val="22"/>
          <w:bdr w:val="nil"/>
          <w:lang w:eastAsia="en-US"/>
        </w:rPr>
        <w:t xml:space="preserve">wn analysis (which was based on specific </w:t>
      </w:r>
      <w:r w:rsidR="00AE112F" w:rsidRPr="007A389E">
        <w:rPr>
          <w:rFonts w:ascii="Arial" w:eastAsia="Arial Unicode MS" w:hAnsi="Arial" w:cs="Arial"/>
          <w:szCs w:val="22"/>
          <w:bdr w:val="nil"/>
          <w:lang w:eastAsia="en-US"/>
        </w:rPr>
        <w:t>year end “snapshot” figures</w:t>
      </w:r>
      <w:r w:rsidR="007A389E">
        <w:rPr>
          <w:rFonts w:ascii="Arial" w:eastAsia="Arial Unicode MS" w:hAnsi="Arial" w:cs="Arial"/>
          <w:szCs w:val="22"/>
          <w:bdr w:val="nil"/>
          <w:lang w:eastAsia="en-US"/>
        </w:rPr>
        <w:t>)</w:t>
      </w:r>
      <w:r w:rsidR="00AE112F" w:rsidRPr="007A389E">
        <w:rPr>
          <w:rFonts w:ascii="Arial" w:eastAsia="Arial Unicode MS" w:hAnsi="Arial" w:cs="Arial"/>
          <w:szCs w:val="22"/>
          <w:bdr w:val="nil"/>
          <w:lang w:eastAsia="en-US"/>
        </w:rPr>
        <w:t xml:space="preserve"> was that about half of UK local authorit</w:t>
      </w:r>
      <w:r w:rsidR="00002373" w:rsidRPr="007A389E">
        <w:rPr>
          <w:rFonts w:ascii="Arial" w:eastAsia="Arial Unicode MS" w:hAnsi="Arial" w:cs="Arial"/>
          <w:szCs w:val="22"/>
          <w:bdr w:val="nil"/>
          <w:lang w:eastAsia="en-US"/>
        </w:rPr>
        <w:t>i</w:t>
      </w:r>
      <w:r w:rsidR="00AE112F" w:rsidRPr="007A389E">
        <w:rPr>
          <w:rFonts w:ascii="Arial" w:eastAsia="Arial Unicode MS" w:hAnsi="Arial" w:cs="Arial"/>
          <w:szCs w:val="22"/>
          <w:bdr w:val="nil"/>
          <w:lang w:eastAsia="en-US"/>
        </w:rPr>
        <w:t>es would be excluded by</w:t>
      </w:r>
      <w:r w:rsidR="00002373" w:rsidRPr="007A389E">
        <w:rPr>
          <w:rFonts w:ascii="Arial" w:eastAsia="Arial Unicode MS" w:hAnsi="Arial" w:cs="Arial"/>
          <w:szCs w:val="22"/>
          <w:bdr w:val="nil"/>
          <w:lang w:eastAsia="en-US"/>
        </w:rPr>
        <w:t xml:space="preserve"> the £15 million limit</w:t>
      </w:r>
      <w:r w:rsidR="00875E65">
        <w:rPr>
          <w:rFonts w:ascii="Arial" w:eastAsia="Arial Unicode MS" w:hAnsi="Arial" w:cs="Arial"/>
          <w:szCs w:val="22"/>
          <w:bdr w:val="nil"/>
          <w:lang w:eastAsia="en-US"/>
        </w:rPr>
        <w:t>.  This includes 12 single tier authorities, and 57 shire districts in England</w:t>
      </w:r>
      <w:r w:rsidR="00002373" w:rsidRPr="007A389E">
        <w:rPr>
          <w:rFonts w:ascii="Arial" w:eastAsia="Arial Unicode MS" w:hAnsi="Arial" w:cs="Arial"/>
          <w:szCs w:val="22"/>
          <w:bdr w:val="nil"/>
          <w:lang w:eastAsia="en-US"/>
        </w:rPr>
        <w:t>. The cal</w:t>
      </w:r>
      <w:r w:rsidR="00AE112F" w:rsidRPr="007A389E">
        <w:rPr>
          <w:rFonts w:ascii="Arial" w:eastAsia="Arial Unicode MS" w:hAnsi="Arial" w:cs="Arial"/>
          <w:szCs w:val="22"/>
          <w:bdr w:val="nil"/>
          <w:lang w:eastAsia="en-US"/>
        </w:rPr>
        <w:t xml:space="preserve">culation included cash deposits and these will vary with cash flows so depending on </w:t>
      </w:r>
      <w:r w:rsidR="00002373" w:rsidRPr="007A389E">
        <w:rPr>
          <w:rFonts w:ascii="Arial" w:eastAsia="Arial Unicode MS" w:hAnsi="Arial" w:cs="Arial"/>
          <w:szCs w:val="22"/>
          <w:bdr w:val="nil"/>
          <w:lang w:eastAsia="en-US"/>
        </w:rPr>
        <w:t>the time period for calculation of the si</w:t>
      </w:r>
      <w:r w:rsidR="00AE112F" w:rsidRPr="007A389E">
        <w:rPr>
          <w:rFonts w:ascii="Arial" w:eastAsia="Arial Unicode MS" w:hAnsi="Arial" w:cs="Arial"/>
          <w:szCs w:val="22"/>
          <w:bdr w:val="nil"/>
          <w:lang w:eastAsia="en-US"/>
        </w:rPr>
        <w:t xml:space="preserve">ze of the investment portfolio, it is quite </w:t>
      </w:r>
      <w:r w:rsidR="00002373" w:rsidRPr="007A389E">
        <w:rPr>
          <w:rFonts w:ascii="Arial" w:eastAsia="Arial Unicode MS" w:hAnsi="Arial" w:cs="Arial"/>
          <w:szCs w:val="22"/>
          <w:bdr w:val="nil"/>
          <w:lang w:eastAsia="en-US"/>
        </w:rPr>
        <w:t>possible</w:t>
      </w:r>
      <w:r w:rsidR="00AE112F" w:rsidRPr="007A389E">
        <w:rPr>
          <w:rFonts w:ascii="Arial" w:eastAsia="Arial Unicode MS" w:hAnsi="Arial" w:cs="Arial"/>
          <w:szCs w:val="22"/>
          <w:bdr w:val="nil"/>
          <w:lang w:eastAsia="en-US"/>
        </w:rPr>
        <w:t xml:space="preserve"> that many more local</w:t>
      </w:r>
      <w:r w:rsidR="00002373" w:rsidRPr="007A389E">
        <w:rPr>
          <w:rFonts w:ascii="Arial" w:eastAsia="Arial Unicode MS" w:hAnsi="Arial" w:cs="Arial"/>
          <w:szCs w:val="22"/>
          <w:bdr w:val="nil"/>
          <w:lang w:eastAsia="en-US"/>
        </w:rPr>
        <w:t xml:space="preserve"> </w:t>
      </w:r>
      <w:r w:rsidR="00AE112F" w:rsidRPr="007A389E">
        <w:rPr>
          <w:rFonts w:ascii="Arial" w:eastAsia="Arial Unicode MS" w:hAnsi="Arial" w:cs="Arial"/>
          <w:szCs w:val="22"/>
          <w:bdr w:val="nil"/>
          <w:lang w:eastAsia="en-US"/>
        </w:rPr>
        <w:t>authorities</w:t>
      </w:r>
      <w:r w:rsidR="00002373" w:rsidRPr="007A389E">
        <w:rPr>
          <w:rFonts w:ascii="Arial" w:eastAsia="Arial Unicode MS" w:hAnsi="Arial" w:cs="Arial"/>
          <w:szCs w:val="22"/>
          <w:bdr w:val="nil"/>
          <w:lang w:eastAsia="en-US"/>
        </w:rPr>
        <w:t xml:space="preserve"> could be excluded</w:t>
      </w:r>
      <w:r w:rsidR="007A389E">
        <w:rPr>
          <w:rFonts w:ascii="Arial" w:eastAsia="Arial Unicode MS" w:hAnsi="Arial" w:cs="Arial"/>
          <w:szCs w:val="22"/>
          <w:bdr w:val="nil"/>
          <w:lang w:eastAsia="en-US"/>
        </w:rPr>
        <w:t xml:space="preserve"> (the similar “snapshot” taken at the end of the following year pointed to a different group of local authorities – including some very large councils – being excluded).</w:t>
      </w:r>
      <w:r w:rsidR="00AE112F" w:rsidRPr="007A389E">
        <w:rPr>
          <w:rFonts w:ascii="Arial" w:eastAsia="Arial Unicode MS" w:hAnsi="Arial" w:cs="Arial"/>
          <w:szCs w:val="22"/>
          <w:bdr w:val="nil"/>
          <w:lang w:eastAsia="en-US"/>
        </w:rPr>
        <w:t xml:space="preserve"> </w:t>
      </w:r>
      <w:r w:rsidR="00F100AC" w:rsidRPr="007A389E">
        <w:rPr>
          <w:rFonts w:ascii="Arial" w:eastAsia="Arial Unicode MS" w:hAnsi="Arial" w:cs="Arial"/>
          <w:szCs w:val="22"/>
          <w:bdr w:val="nil"/>
          <w:lang w:eastAsia="en-US"/>
        </w:rPr>
        <w:t>The FCA needs to rethink this point</w:t>
      </w:r>
      <w:r w:rsidR="007A389E">
        <w:rPr>
          <w:rFonts w:ascii="Arial" w:eastAsia="Arial Unicode MS" w:hAnsi="Arial" w:cs="Arial"/>
          <w:szCs w:val="22"/>
          <w:bdr w:val="nil"/>
          <w:lang w:eastAsia="en-US"/>
        </w:rPr>
        <w:t>. T</w:t>
      </w:r>
      <w:r w:rsidR="00F100AC" w:rsidRPr="007A389E">
        <w:rPr>
          <w:rFonts w:ascii="Arial" w:eastAsia="Arial Unicode MS" w:hAnsi="Arial" w:cs="Arial"/>
          <w:szCs w:val="22"/>
          <w:bdr w:val="nil"/>
          <w:lang w:eastAsia="en-US"/>
        </w:rPr>
        <w:t>he figure included in the EU legislation is 500,000 euros</w:t>
      </w:r>
      <w:r w:rsidR="00002373" w:rsidRPr="007A389E">
        <w:rPr>
          <w:rFonts w:ascii="Arial" w:eastAsia="Arial Unicode MS" w:hAnsi="Arial" w:cs="Arial"/>
          <w:szCs w:val="22"/>
          <w:bdr w:val="nil"/>
          <w:lang w:eastAsia="en-US"/>
        </w:rPr>
        <w:t xml:space="preserve">, anything above that is </w:t>
      </w:r>
      <w:r w:rsidR="007A389E">
        <w:rPr>
          <w:rFonts w:ascii="Arial" w:eastAsia="Arial Unicode MS" w:hAnsi="Arial" w:cs="Arial"/>
          <w:szCs w:val="22"/>
          <w:bdr w:val="nil"/>
          <w:lang w:eastAsia="en-US"/>
        </w:rPr>
        <w:t>t</w:t>
      </w:r>
      <w:r w:rsidR="00002373" w:rsidRPr="007A389E">
        <w:rPr>
          <w:rFonts w:ascii="Arial" w:eastAsia="Arial Unicode MS" w:hAnsi="Arial" w:cs="Arial"/>
          <w:szCs w:val="22"/>
          <w:bdr w:val="nil"/>
          <w:lang w:eastAsia="en-US"/>
        </w:rPr>
        <w:t>he FCA’</w:t>
      </w:r>
      <w:r w:rsidR="007A389E">
        <w:rPr>
          <w:rFonts w:ascii="Arial" w:eastAsia="Arial Unicode MS" w:hAnsi="Arial" w:cs="Arial"/>
          <w:szCs w:val="22"/>
          <w:bdr w:val="nil"/>
          <w:lang w:eastAsia="en-US"/>
        </w:rPr>
        <w:t>s proposal</w:t>
      </w:r>
      <w:r w:rsidR="00F100AC" w:rsidRPr="007A389E">
        <w:rPr>
          <w:rFonts w:ascii="Arial" w:eastAsia="Arial Unicode MS" w:hAnsi="Arial" w:cs="Arial"/>
          <w:szCs w:val="22"/>
          <w:bdr w:val="nil"/>
          <w:lang w:eastAsia="en-US"/>
        </w:rPr>
        <w:t>.</w:t>
      </w:r>
    </w:p>
    <w:p w14:paraId="6A12DBC2" w14:textId="77777777" w:rsidR="003067C0" w:rsidRPr="007A389E" w:rsidRDefault="003067C0" w:rsidP="003067C0">
      <w:pPr>
        <w:pStyle w:val="MainText"/>
        <w:pBdr>
          <w:top w:val="nil"/>
          <w:left w:val="nil"/>
          <w:bottom w:val="nil"/>
          <w:right w:val="nil"/>
          <w:between w:val="nil"/>
          <w:bar w:val="nil"/>
        </w:pBdr>
        <w:spacing w:line="240" w:lineRule="auto"/>
        <w:jc w:val="both"/>
        <w:rPr>
          <w:rFonts w:ascii="Arial" w:eastAsia="Arial Unicode MS" w:hAnsi="Arial" w:cs="Arial"/>
          <w:szCs w:val="22"/>
          <w:bdr w:val="nil"/>
          <w:lang w:eastAsia="en-US"/>
        </w:rPr>
      </w:pPr>
    </w:p>
    <w:p w14:paraId="13C62F87" w14:textId="0D2ECB03" w:rsidR="009E26D9" w:rsidRPr="007A389E" w:rsidRDefault="00F100AC" w:rsidP="003067C0">
      <w:pPr>
        <w:pStyle w:val="MainText"/>
        <w:numPr>
          <w:ilvl w:val="0"/>
          <w:numId w:val="5"/>
        </w:numPr>
        <w:pBdr>
          <w:top w:val="nil"/>
          <w:left w:val="nil"/>
          <w:bottom w:val="nil"/>
          <w:right w:val="nil"/>
          <w:between w:val="nil"/>
          <w:bar w:val="nil"/>
        </w:pBdr>
        <w:spacing w:line="240" w:lineRule="auto"/>
        <w:jc w:val="both"/>
        <w:rPr>
          <w:rFonts w:ascii="Arial" w:eastAsia="Arial Unicode MS" w:hAnsi="Arial" w:cs="Arial"/>
          <w:szCs w:val="22"/>
          <w:bdr w:val="nil"/>
          <w:lang w:eastAsia="en-US"/>
        </w:rPr>
      </w:pPr>
      <w:r w:rsidRPr="007A389E">
        <w:rPr>
          <w:rFonts w:ascii="Arial" w:eastAsia="Arial Unicode MS" w:hAnsi="Arial" w:cs="Arial"/>
          <w:szCs w:val="22"/>
          <w:bdr w:val="nil"/>
          <w:lang w:eastAsia="en-US"/>
        </w:rPr>
        <w:t xml:space="preserve">The other conditions </w:t>
      </w:r>
      <w:r w:rsidR="007A389E">
        <w:rPr>
          <w:rFonts w:ascii="Arial" w:eastAsia="Arial Unicode MS" w:hAnsi="Arial" w:cs="Arial"/>
          <w:szCs w:val="22"/>
          <w:bdr w:val="nil"/>
          <w:lang w:eastAsia="en-US"/>
        </w:rPr>
        <w:t xml:space="preserve">for opt up </w:t>
      </w:r>
      <w:r w:rsidRPr="007A389E">
        <w:rPr>
          <w:rFonts w:ascii="Arial" w:eastAsia="Arial Unicode MS" w:hAnsi="Arial" w:cs="Arial"/>
          <w:szCs w:val="22"/>
          <w:bdr w:val="nil"/>
          <w:lang w:eastAsia="en-US"/>
        </w:rPr>
        <w:t>are not included in the formal questions, but the proposed re</w:t>
      </w:r>
      <w:r w:rsidR="009538BE" w:rsidRPr="007A389E">
        <w:rPr>
          <w:rFonts w:ascii="Arial" w:eastAsia="Arial Unicode MS" w:hAnsi="Arial" w:cs="Arial"/>
          <w:szCs w:val="22"/>
          <w:bdr w:val="nil"/>
          <w:lang w:eastAsia="en-US"/>
        </w:rPr>
        <w:t>s</w:t>
      </w:r>
      <w:r w:rsidRPr="007A389E">
        <w:rPr>
          <w:rFonts w:ascii="Arial" w:eastAsia="Arial Unicode MS" w:hAnsi="Arial" w:cs="Arial"/>
          <w:szCs w:val="22"/>
          <w:bdr w:val="nil"/>
          <w:lang w:eastAsia="en-US"/>
        </w:rPr>
        <w:t xml:space="preserve">ponse addresses these and concludes that most authorities, including pension funds, will not be able to meet </w:t>
      </w:r>
      <w:r w:rsidR="007A389E">
        <w:rPr>
          <w:rFonts w:ascii="Arial" w:eastAsia="Arial Unicode MS" w:hAnsi="Arial" w:cs="Arial"/>
          <w:szCs w:val="22"/>
          <w:bdr w:val="nil"/>
          <w:lang w:eastAsia="en-US"/>
        </w:rPr>
        <w:t xml:space="preserve">enough of </w:t>
      </w:r>
      <w:r w:rsidRPr="007A389E">
        <w:rPr>
          <w:rFonts w:ascii="Arial" w:eastAsia="Arial Unicode MS" w:hAnsi="Arial" w:cs="Arial"/>
          <w:szCs w:val="22"/>
          <w:bdr w:val="nil"/>
          <w:lang w:eastAsia="en-US"/>
        </w:rPr>
        <w:t xml:space="preserve">them and so </w:t>
      </w:r>
      <w:r w:rsidR="00025666">
        <w:rPr>
          <w:rFonts w:ascii="Arial" w:eastAsia="Arial Unicode MS" w:hAnsi="Arial" w:cs="Arial"/>
          <w:szCs w:val="22"/>
          <w:bdr w:val="nil"/>
          <w:lang w:eastAsia="en-US"/>
        </w:rPr>
        <w:t xml:space="preserve">will </w:t>
      </w:r>
      <w:r w:rsidRPr="007A389E">
        <w:rPr>
          <w:rFonts w:ascii="Arial" w:eastAsia="Arial Unicode MS" w:hAnsi="Arial" w:cs="Arial"/>
          <w:szCs w:val="22"/>
          <w:bdr w:val="nil"/>
          <w:lang w:eastAsia="en-US"/>
        </w:rPr>
        <w:t>not be able to opt up to professional status</w:t>
      </w:r>
      <w:r w:rsidR="009538BE" w:rsidRPr="007A389E">
        <w:rPr>
          <w:rFonts w:ascii="Arial" w:eastAsia="Arial Unicode MS" w:hAnsi="Arial" w:cs="Arial"/>
          <w:szCs w:val="22"/>
          <w:bdr w:val="nil"/>
          <w:lang w:eastAsia="en-US"/>
        </w:rPr>
        <w:t>. As stated, this is likely to be a major problem for local authorities</w:t>
      </w:r>
      <w:r w:rsidR="007A389E">
        <w:rPr>
          <w:rFonts w:ascii="Arial" w:eastAsia="Arial Unicode MS" w:hAnsi="Arial" w:cs="Arial"/>
          <w:szCs w:val="22"/>
          <w:bdr w:val="nil"/>
          <w:lang w:eastAsia="en-US"/>
        </w:rPr>
        <w:t>, particularly pension funds</w:t>
      </w:r>
      <w:r w:rsidR="009538BE" w:rsidRPr="007A389E">
        <w:rPr>
          <w:rFonts w:ascii="Arial" w:eastAsia="Arial Unicode MS" w:hAnsi="Arial" w:cs="Arial"/>
          <w:szCs w:val="22"/>
          <w:bdr w:val="nil"/>
          <w:lang w:eastAsia="en-US"/>
        </w:rPr>
        <w:t>.</w:t>
      </w:r>
    </w:p>
    <w:p w14:paraId="54351131" w14:textId="77777777" w:rsidR="006138E3" w:rsidRDefault="006138E3" w:rsidP="003067C0">
      <w:pPr>
        <w:pStyle w:val="MainText"/>
        <w:keepNext/>
        <w:keepLines/>
        <w:spacing w:line="240" w:lineRule="auto"/>
        <w:jc w:val="both"/>
        <w:rPr>
          <w:rFonts w:ascii="Arial" w:hAnsi="Arial" w:cs="Arial"/>
          <w:b/>
          <w:szCs w:val="22"/>
        </w:rPr>
      </w:pPr>
    </w:p>
    <w:p w14:paraId="029C0630" w14:textId="4F3B24C2" w:rsidR="00215CEB" w:rsidRDefault="00215CEB" w:rsidP="003067C0">
      <w:pPr>
        <w:pStyle w:val="MainText"/>
        <w:spacing w:line="240" w:lineRule="auto"/>
        <w:jc w:val="both"/>
        <w:rPr>
          <w:rFonts w:ascii="Arial" w:hAnsi="Arial" w:cs="Arial"/>
          <w:b/>
          <w:szCs w:val="22"/>
        </w:rPr>
      </w:pPr>
      <w:r w:rsidRPr="00A64607">
        <w:rPr>
          <w:rFonts w:ascii="Arial" w:hAnsi="Arial" w:cs="Arial"/>
          <w:b/>
          <w:szCs w:val="22"/>
        </w:rPr>
        <w:t>Recommendations</w:t>
      </w:r>
    </w:p>
    <w:p w14:paraId="0DA644EB" w14:textId="77777777" w:rsidR="003067C0" w:rsidRPr="00A64607" w:rsidRDefault="003067C0" w:rsidP="003067C0">
      <w:pPr>
        <w:pStyle w:val="MainText"/>
        <w:spacing w:line="240" w:lineRule="auto"/>
        <w:jc w:val="both"/>
        <w:rPr>
          <w:rFonts w:ascii="Arial" w:hAnsi="Arial" w:cs="Arial"/>
          <w:szCs w:val="22"/>
        </w:rPr>
      </w:pPr>
    </w:p>
    <w:p w14:paraId="28FFF47B" w14:textId="27D8CAE3" w:rsidR="00A64607" w:rsidRDefault="001225A9" w:rsidP="003067C0">
      <w:pPr>
        <w:pStyle w:val="MainText"/>
        <w:numPr>
          <w:ilvl w:val="0"/>
          <w:numId w:val="5"/>
        </w:numPr>
        <w:spacing w:line="240" w:lineRule="auto"/>
        <w:jc w:val="both"/>
        <w:rPr>
          <w:rFonts w:ascii="Arial" w:hAnsi="Arial" w:cs="Arial"/>
          <w:szCs w:val="22"/>
        </w:rPr>
      </w:pPr>
      <w:r w:rsidRPr="009B5B7E">
        <w:rPr>
          <w:rFonts w:ascii="Arial" w:hAnsi="Arial" w:cs="Arial"/>
          <w:szCs w:val="22"/>
        </w:rPr>
        <w:t xml:space="preserve">That </w:t>
      </w:r>
      <w:r w:rsidR="00215CEB" w:rsidRPr="009B5B7E">
        <w:rPr>
          <w:rFonts w:ascii="Arial" w:hAnsi="Arial" w:cs="Arial"/>
          <w:szCs w:val="22"/>
        </w:rPr>
        <w:t xml:space="preserve">the </w:t>
      </w:r>
      <w:r w:rsidR="009B5B7E">
        <w:rPr>
          <w:rFonts w:ascii="Arial" w:hAnsi="Arial" w:cs="Arial"/>
          <w:szCs w:val="22"/>
        </w:rPr>
        <w:t xml:space="preserve">Resources Board </w:t>
      </w:r>
      <w:r w:rsidR="00540228">
        <w:rPr>
          <w:rFonts w:ascii="Arial" w:hAnsi="Arial" w:cs="Arial"/>
          <w:szCs w:val="22"/>
        </w:rPr>
        <w:t xml:space="preserve">comment on </w:t>
      </w:r>
      <w:r w:rsidR="00C744D0">
        <w:rPr>
          <w:rFonts w:ascii="Arial" w:hAnsi="Arial" w:cs="Arial"/>
          <w:szCs w:val="22"/>
        </w:rPr>
        <w:t xml:space="preserve">and approve the contents of the draft consultation response </w:t>
      </w:r>
      <w:r w:rsidR="00587D2B">
        <w:rPr>
          <w:rFonts w:ascii="Arial" w:hAnsi="Arial" w:cs="Arial"/>
          <w:szCs w:val="22"/>
        </w:rPr>
        <w:t xml:space="preserve">attached at </w:t>
      </w:r>
      <w:r w:rsidR="00587D2B" w:rsidRPr="00587D2B">
        <w:rPr>
          <w:rFonts w:ascii="Arial" w:hAnsi="Arial" w:cs="Arial"/>
          <w:b/>
          <w:szCs w:val="22"/>
          <w:u w:val="single"/>
        </w:rPr>
        <w:t>Appendix A</w:t>
      </w:r>
      <w:r w:rsidR="00540228">
        <w:rPr>
          <w:rFonts w:ascii="Arial" w:hAnsi="Arial" w:cs="Arial"/>
          <w:szCs w:val="22"/>
        </w:rPr>
        <w:t>.</w:t>
      </w:r>
    </w:p>
    <w:p w14:paraId="4929A556" w14:textId="70B0AA6A" w:rsidR="00056076" w:rsidRDefault="00056076" w:rsidP="003067C0">
      <w:pPr>
        <w:pStyle w:val="MainText"/>
        <w:spacing w:line="240" w:lineRule="auto"/>
        <w:ind w:left="720"/>
        <w:jc w:val="both"/>
        <w:rPr>
          <w:rFonts w:ascii="Arial" w:hAnsi="Arial" w:cs="Arial"/>
          <w:szCs w:val="22"/>
        </w:rPr>
      </w:pPr>
      <w:bookmarkStart w:id="3" w:name="_GoBack"/>
      <w:bookmarkEnd w:id="3"/>
    </w:p>
    <w:p w14:paraId="528DFA8A" w14:textId="77777777" w:rsidR="00056076" w:rsidRDefault="00056076" w:rsidP="003067C0">
      <w:pPr>
        <w:rPr>
          <w:rFonts w:ascii="Arial" w:hAnsi="Arial" w:cs="Arial"/>
          <w:b/>
          <w:szCs w:val="22"/>
        </w:rPr>
      </w:pPr>
      <w:r>
        <w:rPr>
          <w:rFonts w:ascii="Arial" w:hAnsi="Arial" w:cs="Arial"/>
          <w:b/>
          <w:szCs w:val="22"/>
        </w:rPr>
        <w:t>Implications for Wales</w:t>
      </w:r>
    </w:p>
    <w:p w14:paraId="6B929024" w14:textId="77777777" w:rsidR="00056076" w:rsidRDefault="00056076" w:rsidP="003067C0">
      <w:pPr>
        <w:pStyle w:val="MainText"/>
        <w:spacing w:line="240" w:lineRule="auto"/>
        <w:jc w:val="both"/>
        <w:rPr>
          <w:rFonts w:ascii="Arial" w:hAnsi="Arial" w:cs="Arial"/>
          <w:szCs w:val="22"/>
        </w:rPr>
      </w:pPr>
    </w:p>
    <w:p w14:paraId="009E0702" w14:textId="77777777" w:rsidR="00056076" w:rsidRDefault="00056076" w:rsidP="003067C0">
      <w:pPr>
        <w:pStyle w:val="MainText"/>
        <w:numPr>
          <w:ilvl w:val="0"/>
          <w:numId w:val="5"/>
        </w:numPr>
        <w:spacing w:line="240" w:lineRule="auto"/>
        <w:jc w:val="both"/>
        <w:rPr>
          <w:rFonts w:ascii="Arial" w:hAnsi="Arial" w:cs="Arial"/>
          <w:szCs w:val="22"/>
        </w:rPr>
      </w:pPr>
      <w:r>
        <w:rPr>
          <w:rFonts w:ascii="Arial" w:hAnsi="Arial" w:cs="Arial"/>
          <w:szCs w:val="22"/>
        </w:rPr>
        <w:t>This consultation from the FCA is aimed at all UK local authorities and applies to them all equally – whether England, Wales, Scotland or Northern Ireland. This is explicit in the analysis carried out by the FCA which looks at all UK local authorities. The impact on Welsh local authorities is therefore the same as the impact on English local authorities.</w:t>
      </w:r>
    </w:p>
    <w:p w14:paraId="07115A3A" w14:textId="77777777" w:rsidR="00A64607" w:rsidRDefault="00A64607" w:rsidP="003067C0">
      <w:pPr>
        <w:pStyle w:val="MainText"/>
        <w:spacing w:line="240" w:lineRule="auto"/>
        <w:jc w:val="both"/>
        <w:rPr>
          <w:rFonts w:ascii="Arial" w:hAnsi="Arial" w:cs="Arial"/>
          <w:szCs w:val="22"/>
        </w:rPr>
      </w:pPr>
    </w:p>
    <w:p w14:paraId="1D54F047" w14:textId="7E52E9AC" w:rsidR="00215CEB" w:rsidRPr="00A64607" w:rsidRDefault="00215CEB" w:rsidP="003067C0">
      <w:pPr>
        <w:pStyle w:val="MainText"/>
        <w:spacing w:line="240" w:lineRule="auto"/>
        <w:jc w:val="both"/>
        <w:rPr>
          <w:rFonts w:ascii="Arial" w:hAnsi="Arial" w:cs="Arial"/>
          <w:szCs w:val="22"/>
        </w:rPr>
      </w:pPr>
      <w:r w:rsidRPr="00A64607">
        <w:rPr>
          <w:rFonts w:ascii="Arial" w:hAnsi="Arial" w:cs="Arial"/>
          <w:b/>
          <w:szCs w:val="22"/>
        </w:rPr>
        <w:t>Financial Implications</w:t>
      </w:r>
    </w:p>
    <w:p w14:paraId="3E1F7F6F" w14:textId="77777777" w:rsidR="00B4673A" w:rsidRPr="00861239" w:rsidRDefault="00B4673A" w:rsidP="003067C0">
      <w:pPr>
        <w:keepLines/>
        <w:jc w:val="both"/>
        <w:rPr>
          <w:rFonts w:ascii="Arial" w:hAnsi="Arial" w:cs="Arial"/>
          <w:b/>
          <w:szCs w:val="22"/>
        </w:rPr>
      </w:pPr>
    </w:p>
    <w:p w14:paraId="59DDA197" w14:textId="48C91100" w:rsidR="008E087E" w:rsidRPr="007A389E" w:rsidRDefault="00670623" w:rsidP="003067C0">
      <w:pPr>
        <w:pStyle w:val="MainText"/>
        <w:numPr>
          <w:ilvl w:val="0"/>
          <w:numId w:val="5"/>
        </w:numPr>
        <w:spacing w:line="240" w:lineRule="auto"/>
        <w:jc w:val="both"/>
        <w:rPr>
          <w:rFonts w:ascii="Arial" w:hAnsi="Arial" w:cs="Arial"/>
          <w:b/>
        </w:rPr>
      </w:pPr>
      <w:r w:rsidRPr="007A389E">
        <w:rPr>
          <w:rFonts w:ascii="Arial" w:hAnsi="Arial" w:cs="Arial"/>
          <w:szCs w:val="22"/>
        </w:rPr>
        <w:t xml:space="preserve">This is part of the LGA’s core programme of work and as such has been budgeted for. </w:t>
      </w:r>
    </w:p>
    <w:sectPr w:rsidR="008E087E" w:rsidRPr="007A389E" w:rsidSect="001E476B">
      <w:headerReference w:type="default" r:id="rId16"/>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3E775" w14:textId="77777777" w:rsidR="00802A53" w:rsidRDefault="00802A53">
      <w:r>
        <w:separator/>
      </w:r>
    </w:p>
  </w:endnote>
  <w:endnote w:type="continuationSeparator" w:id="0">
    <w:p w14:paraId="4461C1F2" w14:textId="77777777" w:rsidR="00802A53" w:rsidRDefault="0080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Impact"/>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802A53" w:rsidRDefault="00802A5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5EA3" w14:textId="77777777" w:rsidR="00802A53" w:rsidRDefault="00802A53">
      <w:r>
        <w:separator/>
      </w:r>
    </w:p>
  </w:footnote>
  <w:footnote w:type="continuationSeparator" w:id="0">
    <w:p w14:paraId="4C042DA9" w14:textId="77777777" w:rsidR="00802A53" w:rsidRDefault="0080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802A53" w:rsidRPr="004F266E" w14:paraId="0FBCCF01" w14:textId="77777777" w:rsidTr="00680C82">
      <w:tc>
        <w:tcPr>
          <w:tcW w:w="5920" w:type="dxa"/>
          <w:vMerge w:val="restart"/>
          <w:shd w:val="clear" w:color="auto" w:fill="auto"/>
        </w:tcPr>
        <w:p w14:paraId="1A8A6E1C" w14:textId="77777777" w:rsidR="00802A53" w:rsidRPr="00374227" w:rsidRDefault="00802A53"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11DC0DDF" w:rsidR="00802A53" w:rsidRPr="00374227" w:rsidRDefault="00802A53" w:rsidP="00680C82">
          <w:pPr>
            <w:pStyle w:val="Header"/>
            <w:rPr>
              <w:rFonts w:ascii="Arial" w:hAnsi="Arial" w:cs="Arial"/>
              <w:b/>
              <w:szCs w:val="22"/>
            </w:rPr>
          </w:pPr>
          <w:r>
            <w:rPr>
              <w:rFonts w:ascii="Arial" w:hAnsi="Arial" w:cs="Arial"/>
              <w:b/>
              <w:szCs w:val="22"/>
            </w:rPr>
            <w:t>LGA Resources Board</w:t>
          </w:r>
        </w:p>
      </w:tc>
    </w:tr>
    <w:tr w:rsidR="00802A53" w14:paraId="358A5B83" w14:textId="77777777" w:rsidTr="00680C82">
      <w:trPr>
        <w:trHeight w:val="450"/>
      </w:trPr>
      <w:tc>
        <w:tcPr>
          <w:tcW w:w="5920" w:type="dxa"/>
          <w:vMerge/>
          <w:shd w:val="clear" w:color="auto" w:fill="auto"/>
        </w:tcPr>
        <w:p w14:paraId="595E0F03" w14:textId="77777777" w:rsidR="00802A53" w:rsidRPr="00374227" w:rsidRDefault="00802A53" w:rsidP="00680C82">
          <w:pPr>
            <w:pStyle w:val="Header"/>
          </w:pPr>
        </w:p>
      </w:tc>
      <w:tc>
        <w:tcPr>
          <w:tcW w:w="3260" w:type="dxa"/>
          <w:shd w:val="clear" w:color="auto" w:fill="auto"/>
          <w:vAlign w:val="center"/>
        </w:tcPr>
        <w:p w14:paraId="0872C208" w14:textId="3519956B" w:rsidR="00802A53" w:rsidRPr="00374227" w:rsidRDefault="00802A53" w:rsidP="00180849">
          <w:pPr>
            <w:pStyle w:val="Header"/>
            <w:spacing w:before="60"/>
            <w:rPr>
              <w:rFonts w:ascii="Arial" w:hAnsi="Arial" w:cs="Arial"/>
              <w:szCs w:val="22"/>
            </w:rPr>
          </w:pPr>
          <w:r>
            <w:rPr>
              <w:rFonts w:ascii="Arial" w:hAnsi="Arial" w:cs="Arial"/>
              <w:szCs w:val="22"/>
            </w:rPr>
            <w:t>5 December 2016</w:t>
          </w:r>
        </w:p>
      </w:tc>
    </w:tr>
    <w:tr w:rsidR="00802A53" w:rsidRPr="004F266E" w14:paraId="2F935056" w14:textId="77777777" w:rsidTr="00680C82">
      <w:trPr>
        <w:trHeight w:val="708"/>
      </w:trPr>
      <w:tc>
        <w:tcPr>
          <w:tcW w:w="5920" w:type="dxa"/>
          <w:vMerge/>
          <w:shd w:val="clear" w:color="auto" w:fill="auto"/>
        </w:tcPr>
        <w:p w14:paraId="17E589AF" w14:textId="77777777" w:rsidR="00802A53" w:rsidRPr="00374227" w:rsidRDefault="00802A53" w:rsidP="00680C82">
          <w:pPr>
            <w:pStyle w:val="Header"/>
          </w:pPr>
        </w:p>
      </w:tc>
      <w:tc>
        <w:tcPr>
          <w:tcW w:w="3260" w:type="dxa"/>
          <w:shd w:val="clear" w:color="auto" w:fill="auto"/>
          <w:vAlign w:val="center"/>
        </w:tcPr>
        <w:p w14:paraId="5BDFB0ED" w14:textId="124CA4A4" w:rsidR="00802A53" w:rsidRPr="00374227" w:rsidRDefault="00802A53" w:rsidP="004B0FD9">
          <w:pPr>
            <w:pStyle w:val="Header"/>
            <w:spacing w:before="60"/>
            <w:rPr>
              <w:rFonts w:ascii="Arial" w:hAnsi="Arial" w:cs="Arial"/>
              <w:b/>
              <w:szCs w:val="22"/>
            </w:rPr>
          </w:pPr>
        </w:p>
      </w:tc>
    </w:tr>
  </w:tbl>
  <w:p w14:paraId="417DBDB9" w14:textId="77777777" w:rsidR="00802A53" w:rsidRPr="0021114E" w:rsidRDefault="00802A5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802A53" w:rsidRDefault="00802A53" w:rsidP="00E64FBC">
    <w:pPr>
      <w:pStyle w:val="Header"/>
      <w:rPr>
        <w:sz w:val="2"/>
      </w:rPr>
    </w:pPr>
  </w:p>
  <w:p w14:paraId="20D0A9A1" w14:textId="77777777" w:rsidR="00802A53" w:rsidRDefault="00802A53"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02A53" w:rsidRPr="001D2C76" w14:paraId="181B7215" w14:textId="77777777" w:rsidTr="00084E44">
      <w:tc>
        <w:tcPr>
          <w:tcW w:w="6062" w:type="dxa"/>
          <w:vMerge w:val="restart"/>
        </w:tcPr>
        <w:p w14:paraId="00083FA3" w14:textId="77777777" w:rsidR="00802A53" w:rsidRDefault="00802A53"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802A53" w:rsidRPr="001D2C76" w:rsidRDefault="00802A53" w:rsidP="00546D0D">
          <w:pPr>
            <w:pStyle w:val="Header"/>
            <w:rPr>
              <w:b/>
            </w:rPr>
          </w:pPr>
          <w:r>
            <w:rPr>
              <w:rFonts w:ascii="Arial" w:hAnsi="Arial" w:cs="Arial"/>
              <w:b/>
              <w:sz w:val="24"/>
              <w:szCs w:val="24"/>
            </w:rPr>
            <w:t>Meeting title</w:t>
          </w:r>
        </w:p>
      </w:tc>
    </w:tr>
    <w:tr w:rsidR="00802A53" w14:paraId="6F4CA098" w14:textId="77777777" w:rsidTr="00084E44">
      <w:trPr>
        <w:trHeight w:val="450"/>
      </w:trPr>
      <w:tc>
        <w:tcPr>
          <w:tcW w:w="6062" w:type="dxa"/>
          <w:vMerge/>
        </w:tcPr>
        <w:p w14:paraId="6FF4401B" w14:textId="77777777" w:rsidR="00802A53" w:rsidRDefault="00802A53" w:rsidP="00546D0D">
          <w:pPr>
            <w:pStyle w:val="Header"/>
          </w:pPr>
        </w:p>
      </w:tc>
      <w:tc>
        <w:tcPr>
          <w:tcW w:w="3225" w:type="dxa"/>
        </w:tcPr>
        <w:p w14:paraId="084C39A8" w14:textId="77777777" w:rsidR="00802A53" w:rsidRDefault="00802A53" w:rsidP="00546D0D">
          <w:pPr>
            <w:pStyle w:val="Header"/>
            <w:spacing w:before="60"/>
          </w:pPr>
          <w:r>
            <w:rPr>
              <w:rFonts w:ascii="Arial" w:hAnsi="Arial" w:cs="Arial"/>
              <w:sz w:val="24"/>
              <w:szCs w:val="24"/>
            </w:rPr>
            <w:t xml:space="preserve">Meeting date </w:t>
          </w:r>
        </w:p>
      </w:tc>
    </w:tr>
    <w:tr w:rsidR="00802A53" w14:paraId="20CB023A" w14:textId="77777777" w:rsidTr="00084E44">
      <w:trPr>
        <w:trHeight w:val="450"/>
      </w:trPr>
      <w:tc>
        <w:tcPr>
          <w:tcW w:w="6062" w:type="dxa"/>
          <w:vMerge/>
        </w:tcPr>
        <w:p w14:paraId="69B9DAC2" w14:textId="77777777" w:rsidR="00802A53" w:rsidRDefault="00802A53" w:rsidP="00546D0D">
          <w:pPr>
            <w:pStyle w:val="Header"/>
          </w:pPr>
        </w:p>
      </w:tc>
      <w:tc>
        <w:tcPr>
          <w:tcW w:w="3225" w:type="dxa"/>
        </w:tcPr>
        <w:p w14:paraId="1A0A21EA" w14:textId="77777777" w:rsidR="00802A53" w:rsidRDefault="00802A53" w:rsidP="00546D0D">
          <w:pPr>
            <w:pStyle w:val="Header"/>
            <w:spacing w:before="60"/>
            <w:rPr>
              <w:rFonts w:ascii="Arial" w:hAnsi="Arial" w:cs="Arial"/>
              <w:b/>
              <w:sz w:val="24"/>
              <w:szCs w:val="24"/>
            </w:rPr>
          </w:pPr>
        </w:p>
        <w:p w14:paraId="11C3D4E5" w14:textId="77777777" w:rsidR="00802A53" w:rsidRPr="00546D0D" w:rsidRDefault="00802A53"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802A53" w:rsidRDefault="00802A53"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802A53" w:rsidRPr="004F266E" w14:paraId="5090155C" w14:textId="77777777" w:rsidTr="00680C82">
      <w:tc>
        <w:tcPr>
          <w:tcW w:w="5920" w:type="dxa"/>
          <w:vMerge w:val="restart"/>
          <w:shd w:val="clear" w:color="auto" w:fill="auto"/>
        </w:tcPr>
        <w:p w14:paraId="26380D81" w14:textId="77777777" w:rsidR="00802A53" w:rsidRPr="00374227" w:rsidRDefault="00802A53"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7B85E764" w:rsidR="00802A53" w:rsidRPr="00374227" w:rsidRDefault="00802A53" w:rsidP="004B0FD9">
          <w:pPr>
            <w:pStyle w:val="Header"/>
            <w:rPr>
              <w:rFonts w:ascii="Arial" w:hAnsi="Arial" w:cs="Arial"/>
              <w:b/>
              <w:szCs w:val="22"/>
            </w:rPr>
          </w:pPr>
          <w:r>
            <w:rPr>
              <w:rFonts w:ascii="Arial" w:hAnsi="Arial" w:cs="Arial"/>
              <w:b/>
              <w:szCs w:val="22"/>
            </w:rPr>
            <w:t>LGA Resources Board</w:t>
          </w:r>
        </w:p>
      </w:tc>
    </w:tr>
    <w:tr w:rsidR="00802A53" w14:paraId="66494D5A" w14:textId="77777777" w:rsidTr="00680C82">
      <w:trPr>
        <w:trHeight w:val="450"/>
      </w:trPr>
      <w:tc>
        <w:tcPr>
          <w:tcW w:w="5920" w:type="dxa"/>
          <w:vMerge/>
          <w:shd w:val="clear" w:color="auto" w:fill="auto"/>
        </w:tcPr>
        <w:p w14:paraId="429043A9" w14:textId="77777777" w:rsidR="00802A53" w:rsidRPr="00374227" w:rsidRDefault="00802A53" w:rsidP="00680C82">
          <w:pPr>
            <w:pStyle w:val="Header"/>
          </w:pPr>
        </w:p>
      </w:tc>
      <w:tc>
        <w:tcPr>
          <w:tcW w:w="3260" w:type="dxa"/>
          <w:shd w:val="clear" w:color="auto" w:fill="auto"/>
          <w:vAlign w:val="center"/>
        </w:tcPr>
        <w:p w14:paraId="3380910C" w14:textId="36A3D119" w:rsidR="00802A53" w:rsidRPr="00374227" w:rsidRDefault="00802A53" w:rsidP="004B0FD9">
          <w:pPr>
            <w:pStyle w:val="Header"/>
            <w:spacing w:before="60"/>
            <w:rPr>
              <w:rFonts w:ascii="Arial" w:hAnsi="Arial" w:cs="Arial"/>
              <w:szCs w:val="22"/>
            </w:rPr>
          </w:pPr>
          <w:r>
            <w:rPr>
              <w:rFonts w:ascii="Arial" w:hAnsi="Arial" w:cs="Arial"/>
              <w:szCs w:val="22"/>
            </w:rPr>
            <w:t>5 December 2016</w:t>
          </w:r>
        </w:p>
      </w:tc>
    </w:tr>
    <w:tr w:rsidR="00802A53" w:rsidRPr="004F266E" w14:paraId="146443C9" w14:textId="77777777" w:rsidTr="00680C82">
      <w:trPr>
        <w:trHeight w:val="708"/>
      </w:trPr>
      <w:tc>
        <w:tcPr>
          <w:tcW w:w="5920" w:type="dxa"/>
          <w:vMerge/>
          <w:shd w:val="clear" w:color="auto" w:fill="auto"/>
        </w:tcPr>
        <w:p w14:paraId="2529674A" w14:textId="77777777" w:rsidR="00802A53" w:rsidRPr="00374227" w:rsidRDefault="00802A53" w:rsidP="00680C82">
          <w:pPr>
            <w:pStyle w:val="Header"/>
          </w:pPr>
        </w:p>
      </w:tc>
      <w:tc>
        <w:tcPr>
          <w:tcW w:w="3260" w:type="dxa"/>
          <w:shd w:val="clear" w:color="auto" w:fill="auto"/>
          <w:vAlign w:val="center"/>
        </w:tcPr>
        <w:p w14:paraId="406C4372" w14:textId="2154EB3E" w:rsidR="00802A53" w:rsidRPr="00374227" w:rsidRDefault="00802A53" w:rsidP="004B0FD9">
          <w:pPr>
            <w:pStyle w:val="Header"/>
            <w:spacing w:before="60"/>
            <w:rPr>
              <w:rFonts w:ascii="Arial" w:hAnsi="Arial" w:cs="Arial"/>
              <w:b/>
              <w:szCs w:val="22"/>
            </w:rPr>
          </w:pPr>
        </w:p>
      </w:tc>
    </w:tr>
  </w:tbl>
  <w:p w14:paraId="6589218D" w14:textId="77777777" w:rsidR="00802A53" w:rsidRPr="0021114E" w:rsidRDefault="00802A5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34D04"/>
    <w:multiLevelType w:val="hybridMultilevel"/>
    <w:tmpl w:val="AD0E69E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0255A"/>
    <w:multiLevelType w:val="hybridMultilevel"/>
    <w:tmpl w:val="5726A6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0BA"/>
    <w:multiLevelType w:val="hybridMultilevel"/>
    <w:tmpl w:val="F80C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925BD"/>
    <w:multiLevelType w:val="hybridMultilevel"/>
    <w:tmpl w:val="E93400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9245A"/>
    <w:multiLevelType w:val="multilevel"/>
    <w:tmpl w:val="3232177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E53ACA"/>
    <w:multiLevelType w:val="hybridMultilevel"/>
    <w:tmpl w:val="EDE40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E1C10"/>
    <w:multiLevelType w:val="hybridMultilevel"/>
    <w:tmpl w:val="A7D63488"/>
    <w:lvl w:ilvl="0" w:tplc="7FDC7D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1801E6"/>
    <w:multiLevelType w:val="hybridMultilevel"/>
    <w:tmpl w:val="03460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205791"/>
    <w:multiLevelType w:val="hybridMultilevel"/>
    <w:tmpl w:val="260CE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881C83"/>
    <w:multiLevelType w:val="hybridMultilevel"/>
    <w:tmpl w:val="F4C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061A3"/>
    <w:multiLevelType w:val="hybridMultilevel"/>
    <w:tmpl w:val="C016C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3733E"/>
    <w:multiLevelType w:val="hybridMultilevel"/>
    <w:tmpl w:val="CF50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B57D2"/>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4"/>
  </w:num>
  <w:num w:numId="5">
    <w:abstractNumId w:val="5"/>
  </w:num>
  <w:num w:numId="6">
    <w:abstractNumId w:val="3"/>
  </w:num>
  <w:num w:numId="7">
    <w:abstractNumId w:val="15"/>
  </w:num>
  <w:num w:numId="8">
    <w:abstractNumId w:val="12"/>
  </w:num>
  <w:num w:numId="9">
    <w:abstractNumId w:val="16"/>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2"/>
  </w:num>
  <w:num w:numId="15">
    <w:abstractNumId w:val="1"/>
  </w:num>
  <w:num w:numId="16">
    <w:abstractNumId w:val="4"/>
  </w:num>
  <w:num w:numId="17">
    <w:abstractNumId w:val="17"/>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143F"/>
    <w:rsid w:val="00002373"/>
    <w:rsid w:val="00002FCA"/>
    <w:rsid w:val="000109D3"/>
    <w:rsid w:val="00010A80"/>
    <w:rsid w:val="00011E01"/>
    <w:rsid w:val="00014274"/>
    <w:rsid w:val="00017B1A"/>
    <w:rsid w:val="000223F1"/>
    <w:rsid w:val="00025666"/>
    <w:rsid w:val="000367FF"/>
    <w:rsid w:val="00043670"/>
    <w:rsid w:val="0005285D"/>
    <w:rsid w:val="00056076"/>
    <w:rsid w:val="000569EF"/>
    <w:rsid w:val="000607C6"/>
    <w:rsid w:val="00061956"/>
    <w:rsid w:val="000624B4"/>
    <w:rsid w:val="000745DF"/>
    <w:rsid w:val="00074691"/>
    <w:rsid w:val="000756A4"/>
    <w:rsid w:val="00077621"/>
    <w:rsid w:val="000819BC"/>
    <w:rsid w:val="00081B2C"/>
    <w:rsid w:val="00083FD1"/>
    <w:rsid w:val="00084E44"/>
    <w:rsid w:val="000872FF"/>
    <w:rsid w:val="000A1D2C"/>
    <w:rsid w:val="000A3935"/>
    <w:rsid w:val="000A4E10"/>
    <w:rsid w:val="000A7C3A"/>
    <w:rsid w:val="000A7FC2"/>
    <w:rsid w:val="000B09F5"/>
    <w:rsid w:val="000B7553"/>
    <w:rsid w:val="000C3360"/>
    <w:rsid w:val="000C52D7"/>
    <w:rsid w:val="000D2BDB"/>
    <w:rsid w:val="000D496C"/>
    <w:rsid w:val="000D69A8"/>
    <w:rsid w:val="000D702D"/>
    <w:rsid w:val="000E5AF8"/>
    <w:rsid w:val="000E5E39"/>
    <w:rsid w:val="000E6882"/>
    <w:rsid w:val="000F38FE"/>
    <w:rsid w:val="00100FB2"/>
    <w:rsid w:val="00100FC2"/>
    <w:rsid w:val="0010253D"/>
    <w:rsid w:val="00104A08"/>
    <w:rsid w:val="001119F2"/>
    <w:rsid w:val="00112EB4"/>
    <w:rsid w:val="00114A9F"/>
    <w:rsid w:val="001172B6"/>
    <w:rsid w:val="001224A4"/>
    <w:rsid w:val="001225A9"/>
    <w:rsid w:val="00127D54"/>
    <w:rsid w:val="00143529"/>
    <w:rsid w:val="00147F29"/>
    <w:rsid w:val="00165BD0"/>
    <w:rsid w:val="00173D5A"/>
    <w:rsid w:val="0017617B"/>
    <w:rsid w:val="00180849"/>
    <w:rsid w:val="00182365"/>
    <w:rsid w:val="00184659"/>
    <w:rsid w:val="00194FE7"/>
    <w:rsid w:val="001A07F1"/>
    <w:rsid w:val="001A7A02"/>
    <w:rsid w:val="001A7C04"/>
    <w:rsid w:val="001B6FE6"/>
    <w:rsid w:val="001C5F8D"/>
    <w:rsid w:val="001C7AB9"/>
    <w:rsid w:val="001D0ADB"/>
    <w:rsid w:val="001D2C76"/>
    <w:rsid w:val="001D6703"/>
    <w:rsid w:val="001E4253"/>
    <w:rsid w:val="001E476B"/>
    <w:rsid w:val="001E4CE7"/>
    <w:rsid w:val="001E526D"/>
    <w:rsid w:val="001F3A02"/>
    <w:rsid w:val="001F797B"/>
    <w:rsid w:val="00206B87"/>
    <w:rsid w:val="0021114E"/>
    <w:rsid w:val="00215CEB"/>
    <w:rsid w:val="00215F3B"/>
    <w:rsid w:val="00221E57"/>
    <w:rsid w:val="00223F45"/>
    <w:rsid w:val="00227582"/>
    <w:rsid w:val="002414C2"/>
    <w:rsid w:val="00254DF4"/>
    <w:rsid w:val="002570D0"/>
    <w:rsid w:val="002635AC"/>
    <w:rsid w:val="002723CE"/>
    <w:rsid w:val="0029446B"/>
    <w:rsid w:val="002A0C7D"/>
    <w:rsid w:val="002A0D9E"/>
    <w:rsid w:val="002B14C4"/>
    <w:rsid w:val="002B5FCA"/>
    <w:rsid w:val="002D0658"/>
    <w:rsid w:val="002D7AFA"/>
    <w:rsid w:val="002E3C00"/>
    <w:rsid w:val="002E6C01"/>
    <w:rsid w:val="002F15DD"/>
    <w:rsid w:val="00300449"/>
    <w:rsid w:val="00302667"/>
    <w:rsid w:val="00302FD9"/>
    <w:rsid w:val="00305049"/>
    <w:rsid w:val="003067C0"/>
    <w:rsid w:val="00310C18"/>
    <w:rsid w:val="00311016"/>
    <w:rsid w:val="00314E45"/>
    <w:rsid w:val="00317BEA"/>
    <w:rsid w:val="00324E86"/>
    <w:rsid w:val="00332158"/>
    <w:rsid w:val="00363ED4"/>
    <w:rsid w:val="00372DE6"/>
    <w:rsid w:val="00373AAF"/>
    <w:rsid w:val="00386F0A"/>
    <w:rsid w:val="003978FB"/>
    <w:rsid w:val="003B31F5"/>
    <w:rsid w:val="003C0DCB"/>
    <w:rsid w:val="003C77A8"/>
    <w:rsid w:val="003E20D5"/>
    <w:rsid w:val="003E386C"/>
    <w:rsid w:val="003E4825"/>
    <w:rsid w:val="003E4B3E"/>
    <w:rsid w:val="00403514"/>
    <w:rsid w:val="0041006B"/>
    <w:rsid w:val="00414273"/>
    <w:rsid w:val="0042168F"/>
    <w:rsid w:val="00432292"/>
    <w:rsid w:val="00435D57"/>
    <w:rsid w:val="004401AF"/>
    <w:rsid w:val="00444C86"/>
    <w:rsid w:val="00445534"/>
    <w:rsid w:val="00446BFD"/>
    <w:rsid w:val="00472CD5"/>
    <w:rsid w:val="00481354"/>
    <w:rsid w:val="004B0FD9"/>
    <w:rsid w:val="004D36F3"/>
    <w:rsid w:val="004D492B"/>
    <w:rsid w:val="004D6E27"/>
    <w:rsid w:val="004E0A5B"/>
    <w:rsid w:val="004E65AE"/>
    <w:rsid w:val="004F0888"/>
    <w:rsid w:val="004F12FE"/>
    <w:rsid w:val="004F45D8"/>
    <w:rsid w:val="004F65EA"/>
    <w:rsid w:val="005061CA"/>
    <w:rsid w:val="0051395F"/>
    <w:rsid w:val="0051496C"/>
    <w:rsid w:val="00515634"/>
    <w:rsid w:val="0051688C"/>
    <w:rsid w:val="005250DF"/>
    <w:rsid w:val="00530ADC"/>
    <w:rsid w:val="00540228"/>
    <w:rsid w:val="00544DA9"/>
    <w:rsid w:val="00546D0D"/>
    <w:rsid w:val="005563BE"/>
    <w:rsid w:val="005711A4"/>
    <w:rsid w:val="00574F05"/>
    <w:rsid w:val="00575EED"/>
    <w:rsid w:val="00587D2B"/>
    <w:rsid w:val="00591595"/>
    <w:rsid w:val="005A0189"/>
    <w:rsid w:val="005A4917"/>
    <w:rsid w:val="005A691F"/>
    <w:rsid w:val="005A7E46"/>
    <w:rsid w:val="005B3508"/>
    <w:rsid w:val="005B6237"/>
    <w:rsid w:val="005B7B5D"/>
    <w:rsid w:val="005D370B"/>
    <w:rsid w:val="005E0BCD"/>
    <w:rsid w:val="005E38A9"/>
    <w:rsid w:val="005F0364"/>
    <w:rsid w:val="005F364F"/>
    <w:rsid w:val="00601158"/>
    <w:rsid w:val="00601A2D"/>
    <w:rsid w:val="00604A2D"/>
    <w:rsid w:val="00611E0F"/>
    <w:rsid w:val="006137EA"/>
    <w:rsid w:val="006138E3"/>
    <w:rsid w:val="00616455"/>
    <w:rsid w:val="00617B72"/>
    <w:rsid w:val="0062371F"/>
    <w:rsid w:val="00634A95"/>
    <w:rsid w:val="00643DD7"/>
    <w:rsid w:val="006448E1"/>
    <w:rsid w:val="00646A98"/>
    <w:rsid w:val="00650936"/>
    <w:rsid w:val="00653432"/>
    <w:rsid w:val="00654832"/>
    <w:rsid w:val="00670623"/>
    <w:rsid w:val="006753EE"/>
    <w:rsid w:val="00680C82"/>
    <w:rsid w:val="0068428D"/>
    <w:rsid w:val="006A0E31"/>
    <w:rsid w:val="006A5793"/>
    <w:rsid w:val="006A5B68"/>
    <w:rsid w:val="006B4E36"/>
    <w:rsid w:val="006C33DB"/>
    <w:rsid w:val="006C5A28"/>
    <w:rsid w:val="006C5D3C"/>
    <w:rsid w:val="006C6FAD"/>
    <w:rsid w:val="006D53BB"/>
    <w:rsid w:val="006F0CCB"/>
    <w:rsid w:val="006F74E0"/>
    <w:rsid w:val="0070192D"/>
    <w:rsid w:val="00706B9A"/>
    <w:rsid w:val="00706D3A"/>
    <w:rsid w:val="0071059E"/>
    <w:rsid w:val="00711FFB"/>
    <w:rsid w:val="00736785"/>
    <w:rsid w:val="007415D5"/>
    <w:rsid w:val="00742F4B"/>
    <w:rsid w:val="007629F7"/>
    <w:rsid w:val="007670B0"/>
    <w:rsid w:val="00767A85"/>
    <w:rsid w:val="0078080C"/>
    <w:rsid w:val="00786202"/>
    <w:rsid w:val="0079534B"/>
    <w:rsid w:val="007A063E"/>
    <w:rsid w:val="007A389E"/>
    <w:rsid w:val="007A3EFE"/>
    <w:rsid w:val="007B0E65"/>
    <w:rsid w:val="007B7A0E"/>
    <w:rsid w:val="007B7C29"/>
    <w:rsid w:val="007C1849"/>
    <w:rsid w:val="007C2814"/>
    <w:rsid w:val="007C2BC2"/>
    <w:rsid w:val="007D1F1F"/>
    <w:rsid w:val="007D3BD6"/>
    <w:rsid w:val="007E2685"/>
    <w:rsid w:val="007F248F"/>
    <w:rsid w:val="007F24E8"/>
    <w:rsid w:val="007F50AB"/>
    <w:rsid w:val="007F680A"/>
    <w:rsid w:val="00801F9C"/>
    <w:rsid w:val="00802A53"/>
    <w:rsid w:val="00817CAA"/>
    <w:rsid w:val="008344BB"/>
    <w:rsid w:val="00841710"/>
    <w:rsid w:val="0084749A"/>
    <w:rsid w:val="008518BC"/>
    <w:rsid w:val="00860C8D"/>
    <w:rsid w:val="00866141"/>
    <w:rsid w:val="008673D4"/>
    <w:rsid w:val="0087174A"/>
    <w:rsid w:val="0087546A"/>
    <w:rsid w:val="00875E65"/>
    <w:rsid w:val="008772F4"/>
    <w:rsid w:val="00887445"/>
    <w:rsid w:val="00892C5A"/>
    <w:rsid w:val="00893E53"/>
    <w:rsid w:val="008A1AF7"/>
    <w:rsid w:val="008A1B78"/>
    <w:rsid w:val="008A53CB"/>
    <w:rsid w:val="008A5A4E"/>
    <w:rsid w:val="008B1A3E"/>
    <w:rsid w:val="008C3AFD"/>
    <w:rsid w:val="008C600B"/>
    <w:rsid w:val="008D1B23"/>
    <w:rsid w:val="008D332D"/>
    <w:rsid w:val="008D5A8E"/>
    <w:rsid w:val="008E087E"/>
    <w:rsid w:val="008E5AE8"/>
    <w:rsid w:val="008F339D"/>
    <w:rsid w:val="008F3A81"/>
    <w:rsid w:val="008F3C22"/>
    <w:rsid w:val="008F78E9"/>
    <w:rsid w:val="00905EA5"/>
    <w:rsid w:val="009060A8"/>
    <w:rsid w:val="009123A5"/>
    <w:rsid w:val="00914A91"/>
    <w:rsid w:val="0092710B"/>
    <w:rsid w:val="00931696"/>
    <w:rsid w:val="00931FA5"/>
    <w:rsid w:val="0094468C"/>
    <w:rsid w:val="009538BE"/>
    <w:rsid w:val="00962661"/>
    <w:rsid w:val="00965CD7"/>
    <w:rsid w:val="00966065"/>
    <w:rsid w:val="00967F3E"/>
    <w:rsid w:val="00982B41"/>
    <w:rsid w:val="009833CA"/>
    <w:rsid w:val="009866E3"/>
    <w:rsid w:val="009955AD"/>
    <w:rsid w:val="009B0968"/>
    <w:rsid w:val="009B5B7E"/>
    <w:rsid w:val="009C2119"/>
    <w:rsid w:val="009C64BE"/>
    <w:rsid w:val="009C7622"/>
    <w:rsid w:val="009C799F"/>
    <w:rsid w:val="009D0C9D"/>
    <w:rsid w:val="009D5D4A"/>
    <w:rsid w:val="009D6157"/>
    <w:rsid w:val="009E0B42"/>
    <w:rsid w:val="009E17B8"/>
    <w:rsid w:val="009E26D9"/>
    <w:rsid w:val="009E64CF"/>
    <w:rsid w:val="00A0039B"/>
    <w:rsid w:val="00A05560"/>
    <w:rsid w:val="00A05A24"/>
    <w:rsid w:val="00A11170"/>
    <w:rsid w:val="00A17225"/>
    <w:rsid w:val="00A34BD9"/>
    <w:rsid w:val="00A35C3D"/>
    <w:rsid w:val="00A41125"/>
    <w:rsid w:val="00A41EC4"/>
    <w:rsid w:val="00A4298A"/>
    <w:rsid w:val="00A457C9"/>
    <w:rsid w:val="00A601EC"/>
    <w:rsid w:val="00A64607"/>
    <w:rsid w:val="00A67E0E"/>
    <w:rsid w:val="00A71CD2"/>
    <w:rsid w:val="00A75FCA"/>
    <w:rsid w:val="00A7644D"/>
    <w:rsid w:val="00A7786B"/>
    <w:rsid w:val="00A84619"/>
    <w:rsid w:val="00A9189F"/>
    <w:rsid w:val="00A92B0D"/>
    <w:rsid w:val="00A92B3B"/>
    <w:rsid w:val="00A9342C"/>
    <w:rsid w:val="00A953F4"/>
    <w:rsid w:val="00A96708"/>
    <w:rsid w:val="00AA413F"/>
    <w:rsid w:val="00AA4971"/>
    <w:rsid w:val="00AA5C07"/>
    <w:rsid w:val="00AA5F72"/>
    <w:rsid w:val="00AA6C37"/>
    <w:rsid w:val="00AA6F4D"/>
    <w:rsid w:val="00AE112F"/>
    <w:rsid w:val="00AF2007"/>
    <w:rsid w:val="00AF26AD"/>
    <w:rsid w:val="00B0159A"/>
    <w:rsid w:val="00B042E2"/>
    <w:rsid w:val="00B162A5"/>
    <w:rsid w:val="00B20C53"/>
    <w:rsid w:val="00B25334"/>
    <w:rsid w:val="00B31C1A"/>
    <w:rsid w:val="00B43083"/>
    <w:rsid w:val="00B44D0C"/>
    <w:rsid w:val="00B4673A"/>
    <w:rsid w:val="00B51B1C"/>
    <w:rsid w:val="00B52DBB"/>
    <w:rsid w:val="00B5364D"/>
    <w:rsid w:val="00B62101"/>
    <w:rsid w:val="00B63F0D"/>
    <w:rsid w:val="00B668B0"/>
    <w:rsid w:val="00B67071"/>
    <w:rsid w:val="00B707C1"/>
    <w:rsid w:val="00B7585E"/>
    <w:rsid w:val="00B809C7"/>
    <w:rsid w:val="00B86A97"/>
    <w:rsid w:val="00BA4B39"/>
    <w:rsid w:val="00BA5509"/>
    <w:rsid w:val="00BA600D"/>
    <w:rsid w:val="00BB212B"/>
    <w:rsid w:val="00BC0F7D"/>
    <w:rsid w:val="00BC1A0C"/>
    <w:rsid w:val="00BC1B31"/>
    <w:rsid w:val="00BC3B14"/>
    <w:rsid w:val="00BC3B9F"/>
    <w:rsid w:val="00BD4D88"/>
    <w:rsid w:val="00BE1A18"/>
    <w:rsid w:val="00BE232F"/>
    <w:rsid w:val="00BF4F9E"/>
    <w:rsid w:val="00C21FC8"/>
    <w:rsid w:val="00C26361"/>
    <w:rsid w:val="00C32472"/>
    <w:rsid w:val="00C342FB"/>
    <w:rsid w:val="00C34433"/>
    <w:rsid w:val="00C36EBD"/>
    <w:rsid w:val="00C435FC"/>
    <w:rsid w:val="00C47E09"/>
    <w:rsid w:val="00C56860"/>
    <w:rsid w:val="00C56D09"/>
    <w:rsid w:val="00C61901"/>
    <w:rsid w:val="00C6280E"/>
    <w:rsid w:val="00C63BF4"/>
    <w:rsid w:val="00C744D0"/>
    <w:rsid w:val="00C750DB"/>
    <w:rsid w:val="00C82C83"/>
    <w:rsid w:val="00C85D69"/>
    <w:rsid w:val="00C87ADF"/>
    <w:rsid w:val="00C90EFC"/>
    <w:rsid w:val="00C91C5F"/>
    <w:rsid w:val="00C9258A"/>
    <w:rsid w:val="00C92850"/>
    <w:rsid w:val="00CA1498"/>
    <w:rsid w:val="00CA2285"/>
    <w:rsid w:val="00CB0031"/>
    <w:rsid w:val="00CB15C8"/>
    <w:rsid w:val="00CC0245"/>
    <w:rsid w:val="00CC046B"/>
    <w:rsid w:val="00CD0C11"/>
    <w:rsid w:val="00CD5BA9"/>
    <w:rsid w:val="00CD6013"/>
    <w:rsid w:val="00CE2310"/>
    <w:rsid w:val="00D00ABF"/>
    <w:rsid w:val="00D06E32"/>
    <w:rsid w:val="00D1012F"/>
    <w:rsid w:val="00D12FE4"/>
    <w:rsid w:val="00D1779A"/>
    <w:rsid w:val="00D2189F"/>
    <w:rsid w:val="00D22013"/>
    <w:rsid w:val="00D31525"/>
    <w:rsid w:val="00D34B67"/>
    <w:rsid w:val="00D408A6"/>
    <w:rsid w:val="00D43070"/>
    <w:rsid w:val="00D472F1"/>
    <w:rsid w:val="00D576E2"/>
    <w:rsid w:val="00D620BE"/>
    <w:rsid w:val="00D66905"/>
    <w:rsid w:val="00D73535"/>
    <w:rsid w:val="00D77253"/>
    <w:rsid w:val="00D80436"/>
    <w:rsid w:val="00D845E6"/>
    <w:rsid w:val="00D84788"/>
    <w:rsid w:val="00D903DC"/>
    <w:rsid w:val="00DA0169"/>
    <w:rsid w:val="00DA0183"/>
    <w:rsid w:val="00DB2CA3"/>
    <w:rsid w:val="00DB3CBF"/>
    <w:rsid w:val="00DC0CEA"/>
    <w:rsid w:val="00DC40DF"/>
    <w:rsid w:val="00DD666C"/>
    <w:rsid w:val="00DD7640"/>
    <w:rsid w:val="00DF11AC"/>
    <w:rsid w:val="00DF21FD"/>
    <w:rsid w:val="00E05394"/>
    <w:rsid w:val="00E05B5D"/>
    <w:rsid w:val="00E11424"/>
    <w:rsid w:val="00E158A7"/>
    <w:rsid w:val="00E23082"/>
    <w:rsid w:val="00E27467"/>
    <w:rsid w:val="00E4011A"/>
    <w:rsid w:val="00E40B9D"/>
    <w:rsid w:val="00E44300"/>
    <w:rsid w:val="00E52D8B"/>
    <w:rsid w:val="00E62BF4"/>
    <w:rsid w:val="00E64FBC"/>
    <w:rsid w:val="00E650C7"/>
    <w:rsid w:val="00E664CD"/>
    <w:rsid w:val="00E72938"/>
    <w:rsid w:val="00E76C4A"/>
    <w:rsid w:val="00E7710E"/>
    <w:rsid w:val="00E81D1E"/>
    <w:rsid w:val="00E83EB8"/>
    <w:rsid w:val="00E84B8B"/>
    <w:rsid w:val="00E86906"/>
    <w:rsid w:val="00EA1E42"/>
    <w:rsid w:val="00EA496C"/>
    <w:rsid w:val="00EB1237"/>
    <w:rsid w:val="00EC0400"/>
    <w:rsid w:val="00EC7D0A"/>
    <w:rsid w:val="00ED1266"/>
    <w:rsid w:val="00EF6198"/>
    <w:rsid w:val="00F0126F"/>
    <w:rsid w:val="00F03ECB"/>
    <w:rsid w:val="00F100AC"/>
    <w:rsid w:val="00F23B3B"/>
    <w:rsid w:val="00F43EFC"/>
    <w:rsid w:val="00F44F92"/>
    <w:rsid w:val="00F4573D"/>
    <w:rsid w:val="00F53BC9"/>
    <w:rsid w:val="00F56C53"/>
    <w:rsid w:val="00F6257D"/>
    <w:rsid w:val="00F626E7"/>
    <w:rsid w:val="00F6671D"/>
    <w:rsid w:val="00F668D3"/>
    <w:rsid w:val="00F66928"/>
    <w:rsid w:val="00F70528"/>
    <w:rsid w:val="00F74F32"/>
    <w:rsid w:val="00F76C5F"/>
    <w:rsid w:val="00F77051"/>
    <w:rsid w:val="00F83C7A"/>
    <w:rsid w:val="00F866E4"/>
    <w:rsid w:val="00F95A3A"/>
    <w:rsid w:val="00F95CE6"/>
    <w:rsid w:val="00F9673D"/>
    <w:rsid w:val="00FA26F5"/>
    <w:rsid w:val="00FB080C"/>
    <w:rsid w:val="00FB295D"/>
    <w:rsid w:val="00FC306B"/>
    <w:rsid w:val="00FC4CDF"/>
    <w:rsid w:val="00FC7FAC"/>
    <w:rsid w:val="00FE1039"/>
    <w:rsid w:val="00FE181A"/>
    <w:rsid w:val="00FF3343"/>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0"/>
      </w:numPr>
      <w:contextualSpacing/>
    </w:pPr>
  </w:style>
  <w:style w:type="character" w:styleId="FootnoteReference">
    <w:name w:val="footnote reference"/>
    <w:basedOn w:val="DefaultParagraphFont"/>
    <w:uiPriority w:val="99"/>
    <w:semiHidden/>
    <w:unhideWhenUsed/>
    <w:rsid w:val="00D84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vis.ingram@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houston@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ADDF-FB9B-40EF-BCC5-18875901F4B0}">
  <ds:schemaRef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FDF087CB-9187-4962-A5CC-ACF70C4F1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4.xml><?xml version="1.0" encoding="utf-8"?>
<ds:datastoreItem xmlns:ds="http://schemas.openxmlformats.org/officeDocument/2006/customXml" ds:itemID="{4E71F6A8-1386-4898-86A1-304AB96C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51AD3BE5.dotm</Template>
  <TotalTime>19</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Frances Marshall</cp:lastModifiedBy>
  <cp:revision>26</cp:revision>
  <cp:lastPrinted>2016-11-22T09:06:00Z</cp:lastPrinted>
  <dcterms:created xsi:type="dcterms:W3CDTF">2016-11-25T14:14:00Z</dcterms:created>
  <dcterms:modified xsi:type="dcterms:W3CDTF">2016-11-28T12:28:00Z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0x01010022618E5C7F9D9040A5AEFB7288B7574E</vt:lpwstr>
  </property>
</Properties>
</file>